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2CD10" w14:textId="231D1993" w:rsidR="002014FB" w:rsidRPr="00EE7E0B" w:rsidRDefault="006E13C3" w:rsidP="00C65AAA">
      <w:pPr>
        <w:jc w:val="center"/>
        <w:rPr>
          <w:b/>
          <w:sz w:val="28"/>
          <w:szCs w:val="28"/>
        </w:rPr>
      </w:pPr>
      <w:r w:rsidRPr="00EE7E0B">
        <w:rPr>
          <w:b/>
          <w:sz w:val="28"/>
          <w:szCs w:val="28"/>
        </w:rPr>
        <w:t>Lesson Plan</w:t>
      </w:r>
      <w:r w:rsidR="00EE7E0B" w:rsidRPr="00EE7E0B">
        <w:rPr>
          <w:b/>
          <w:sz w:val="28"/>
          <w:szCs w:val="28"/>
        </w:rPr>
        <w:t xml:space="preserve">: Lecture </w:t>
      </w:r>
      <w:r w:rsidR="001C2C80">
        <w:rPr>
          <w:b/>
          <w:sz w:val="28"/>
          <w:szCs w:val="28"/>
        </w:rPr>
        <w:t>17</w:t>
      </w:r>
      <w:bookmarkStart w:id="0" w:name="_GoBack"/>
      <w:bookmarkEnd w:id="0"/>
    </w:p>
    <w:p w14:paraId="001B3FA1" w14:textId="3064B71D" w:rsidR="00EE7E0B" w:rsidRPr="00EE7E0B" w:rsidRDefault="00EE7E0B" w:rsidP="006E13C3">
      <w:pPr>
        <w:jc w:val="center"/>
        <w:rPr>
          <w:b/>
          <w:sz w:val="28"/>
          <w:szCs w:val="28"/>
        </w:rPr>
      </w:pPr>
    </w:p>
    <w:p w14:paraId="61D271F9" w14:textId="77777777" w:rsidR="00EE7E0B" w:rsidRPr="00EE7E0B" w:rsidRDefault="00EE7E0B" w:rsidP="00EE7E0B">
      <w:pPr>
        <w:jc w:val="center"/>
        <w:rPr>
          <w:b/>
          <w:sz w:val="28"/>
          <w:szCs w:val="28"/>
        </w:rPr>
      </w:pPr>
      <w:r w:rsidRPr="00EE7E0B">
        <w:rPr>
          <w:b/>
          <w:sz w:val="28"/>
          <w:szCs w:val="28"/>
        </w:rPr>
        <w:t>Working without Solvents</w:t>
      </w:r>
    </w:p>
    <w:p w14:paraId="6C80A7F6" w14:textId="260075F2" w:rsidR="00EE7E0B" w:rsidRDefault="00EE7E0B" w:rsidP="00EE7E0B">
      <w:pPr>
        <w:rPr>
          <w:b/>
          <w:sz w:val="36"/>
          <w:szCs w:val="36"/>
        </w:rPr>
      </w:pPr>
    </w:p>
    <w:p w14:paraId="7AB99456" w14:textId="6CF1A923" w:rsidR="00EE7E0B" w:rsidRPr="00EE7E0B" w:rsidRDefault="00EE7E0B" w:rsidP="00EE7E0B">
      <w:pPr>
        <w:rPr>
          <w:b/>
          <w:color w:val="4472C4" w:themeColor="accent1"/>
          <w:sz w:val="28"/>
          <w:szCs w:val="28"/>
        </w:rPr>
      </w:pPr>
      <w:r w:rsidRPr="00EE7E0B">
        <w:rPr>
          <w:b/>
          <w:color w:val="4472C4" w:themeColor="accent1"/>
          <w:sz w:val="28"/>
          <w:szCs w:val="28"/>
        </w:rPr>
        <w:t>Description</w:t>
      </w:r>
    </w:p>
    <w:p w14:paraId="1F9FF16C" w14:textId="22E9F5FD" w:rsidR="00EE7E0B" w:rsidRPr="00852049" w:rsidRDefault="00EE7E0B" w:rsidP="00EE7E0B">
      <w:pPr>
        <w:rPr>
          <w:color w:val="000000" w:themeColor="text1"/>
          <w:sz w:val="28"/>
          <w:szCs w:val="28"/>
        </w:rPr>
      </w:pPr>
      <w:r w:rsidRPr="00852049">
        <w:rPr>
          <w:color w:val="000000" w:themeColor="text1"/>
          <w:sz w:val="28"/>
          <w:szCs w:val="28"/>
        </w:rPr>
        <w:t xml:space="preserve">In this class students will learn the possibilities to perform chemical transformations without the presence of an organic solvent. Students will explore alternative methodologies ranging from supercritical fluids to </w:t>
      </w:r>
      <w:proofErr w:type="spellStart"/>
      <w:r w:rsidRPr="00852049">
        <w:rPr>
          <w:color w:val="000000" w:themeColor="text1"/>
          <w:sz w:val="28"/>
          <w:szCs w:val="28"/>
        </w:rPr>
        <w:t>solventless</w:t>
      </w:r>
      <w:proofErr w:type="spellEnd"/>
      <w:r w:rsidRPr="00852049">
        <w:rPr>
          <w:color w:val="000000" w:themeColor="text1"/>
          <w:sz w:val="28"/>
          <w:szCs w:val="28"/>
        </w:rPr>
        <w:t xml:space="preserve"> conditions. The goal of this lecture is to not only inform student of alternative methodologies, but to provide real example of how these approaches are used today. </w:t>
      </w:r>
    </w:p>
    <w:p w14:paraId="048EB77E" w14:textId="77777777" w:rsidR="00EE7E0B" w:rsidRPr="00EE7E0B" w:rsidRDefault="00EE7E0B" w:rsidP="00EE7E0B">
      <w:pPr>
        <w:rPr>
          <w:color w:val="000000" w:themeColor="text1"/>
          <w:sz w:val="28"/>
          <w:szCs w:val="28"/>
        </w:rPr>
      </w:pPr>
    </w:p>
    <w:p w14:paraId="32115C77" w14:textId="33C1242E" w:rsidR="00EE7E0B" w:rsidRPr="00EE7E0B" w:rsidRDefault="00F60823" w:rsidP="00EE7E0B">
      <w:pPr>
        <w:rPr>
          <w:b/>
          <w:color w:val="4472C4" w:themeColor="accent1"/>
          <w:sz w:val="28"/>
          <w:szCs w:val="28"/>
        </w:rPr>
      </w:pPr>
      <w:r>
        <w:rPr>
          <w:b/>
          <w:color w:val="4472C4" w:themeColor="accent1"/>
          <w:sz w:val="28"/>
          <w:szCs w:val="28"/>
        </w:rPr>
        <w:t>Prior to Lecture</w:t>
      </w:r>
    </w:p>
    <w:p w14:paraId="08D0185B" w14:textId="4256551B" w:rsidR="00C65AAA" w:rsidRPr="00852049" w:rsidRDefault="007E6873" w:rsidP="00EE7E0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Required Readings:</w:t>
      </w:r>
    </w:p>
    <w:p w14:paraId="5E3A750A" w14:textId="77777777" w:rsidR="00C65AAA" w:rsidRPr="00852049" w:rsidRDefault="00C65AAA" w:rsidP="00C65AAA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bookmarkStart w:id="1" w:name="_Hlk532477238"/>
      <w:r w:rsidRPr="00852049">
        <w:rPr>
          <w:color w:val="000000" w:themeColor="text1"/>
          <w:sz w:val="28"/>
          <w:szCs w:val="28"/>
        </w:rPr>
        <w:t>“Green Chemistry: Theory and Practice”, Anastas and Warner, Oxford University Press, Ch. 4 Section 5</w:t>
      </w:r>
    </w:p>
    <w:bookmarkEnd w:id="1"/>
    <w:p w14:paraId="5285C473" w14:textId="77777777" w:rsidR="00C65AAA" w:rsidRPr="00852049" w:rsidRDefault="00C65AAA" w:rsidP="00C65AAA">
      <w:pPr>
        <w:rPr>
          <w:color w:val="000000" w:themeColor="text1"/>
          <w:sz w:val="28"/>
          <w:szCs w:val="28"/>
        </w:rPr>
      </w:pPr>
    </w:p>
    <w:p w14:paraId="6ADF25BE" w14:textId="050BC035" w:rsidR="00EE7E0B" w:rsidRPr="00852049" w:rsidRDefault="007E6873" w:rsidP="00EE7E0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Optional/Supplemental Readings:</w:t>
      </w:r>
    </w:p>
    <w:p w14:paraId="73C7652F" w14:textId="49F79DEB" w:rsidR="00C91106" w:rsidRPr="00852049" w:rsidRDefault="00C91106" w:rsidP="00C91106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bookmarkStart w:id="2" w:name="_Hlk532477209"/>
      <w:r w:rsidRPr="00852049">
        <w:rPr>
          <w:color w:val="000000" w:themeColor="text1"/>
          <w:sz w:val="28"/>
          <w:szCs w:val="28"/>
        </w:rPr>
        <w:t xml:space="preserve">“Introduction to Green Chemistry”, Albert S. </w:t>
      </w:r>
      <w:proofErr w:type="spellStart"/>
      <w:r w:rsidRPr="00852049">
        <w:rPr>
          <w:color w:val="000000" w:themeColor="text1"/>
          <w:sz w:val="28"/>
          <w:szCs w:val="28"/>
        </w:rPr>
        <w:t>Matlack</w:t>
      </w:r>
      <w:proofErr w:type="spellEnd"/>
      <w:r w:rsidRPr="00852049">
        <w:rPr>
          <w:color w:val="000000" w:themeColor="text1"/>
          <w:sz w:val="28"/>
          <w:szCs w:val="28"/>
        </w:rPr>
        <w:t xml:space="preserve">, CRC Press, Ch. </w:t>
      </w:r>
      <w:proofErr w:type="gramStart"/>
      <w:r w:rsidRPr="00852049">
        <w:rPr>
          <w:color w:val="000000" w:themeColor="text1"/>
          <w:sz w:val="28"/>
          <w:szCs w:val="28"/>
        </w:rPr>
        <w:t>8,  2</w:t>
      </w:r>
      <w:proofErr w:type="gramEnd"/>
      <w:r w:rsidRPr="00852049">
        <w:rPr>
          <w:color w:val="000000" w:themeColor="text1"/>
          <w:sz w:val="28"/>
          <w:szCs w:val="28"/>
          <w:vertAlign w:val="superscript"/>
        </w:rPr>
        <w:t>nd</w:t>
      </w:r>
      <w:r w:rsidRPr="00852049">
        <w:rPr>
          <w:color w:val="000000" w:themeColor="text1"/>
          <w:sz w:val="28"/>
          <w:szCs w:val="28"/>
        </w:rPr>
        <w:t xml:space="preserve"> Edition, 2010.</w:t>
      </w:r>
    </w:p>
    <w:p w14:paraId="3B72241A" w14:textId="64EBBEBB" w:rsidR="00C91106" w:rsidRPr="00852049" w:rsidRDefault="00C91106" w:rsidP="00C91106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852049">
        <w:rPr>
          <w:color w:val="000000" w:themeColor="text1"/>
          <w:sz w:val="28"/>
          <w:szCs w:val="28"/>
        </w:rPr>
        <w:t>Andrew P. Dicks (2009) Solvent-free reactivity in the undergraduate organic laboratory, Green Chemistry Letters and Reviews, 2:2, 87-100, DOI: 10.1080/17518250903164549</w:t>
      </w:r>
      <w:r w:rsidR="00BE2F0E">
        <w:rPr>
          <w:color w:val="000000" w:themeColor="text1"/>
          <w:sz w:val="28"/>
          <w:szCs w:val="28"/>
        </w:rPr>
        <w:t xml:space="preserve"> </w:t>
      </w:r>
      <w:hyperlink r:id="rId5" w:history="1">
        <w:r w:rsidR="00BE2F0E" w:rsidRPr="00BE2F0E">
          <w:rPr>
            <w:rStyle w:val="Hyperlink"/>
            <w:rFonts w:cstheme="minorHAnsi"/>
            <w:color w:val="auto"/>
            <w:sz w:val="28"/>
            <w:szCs w:val="28"/>
          </w:rPr>
          <w:t>https://www.tandfonline.com/doi/full/10.1080/17518250903164549?scroll=top&amp;needAccess=true</w:t>
        </w:r>
      </w:hyperlink>
    </w:p>
    <w:p w14:paraId="19D99729" w14:textId="77777777" w:rsidR="00C91106" w:rsidRPr="00852049" w:rsidRDefault="00C91106" w:rsidP="00C91106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852049">
        <w:rPr>
          <w:color w:val="000000" w:themeColor="text1"/>
          <w:sz w:val="28"/>
          <w:szCs w:val="28"/>
        </w:rPr>
        <w:t>Andrew P. Dicks (2009) A review of aqueous organic reactions for the</w:t>
      </w:r>
    </w:p>
    <w:p w14:paraId="714ADC7D" w14:textId="2D7295BE" w:rsidR="00C91106" w:rsidRPr="00852049" w:rsidRDefault="00C91106" w:rsidP="00C91106">
      <w:pPr>
        <w:pStyle w:val="ListParagraph"/>
        <w:rPr>
          <w:color w:val="000000" w:themeColor="text1"/>
          <w:sz w:val="28"/>
          <w:szCs w:val="28"/>
        </w:rPr>
      </w:pPr>
      <w:r w:rsidRPr="00852049">
        <w:rPr>
          <w:color w:val="000000" w:themeColor="text1"/>
          <w:sz w:val="28"/>
          <w:szCs w:val="28"/>
        </w:rPr>
        <w:t>undergraduate teaching laboratory, Green Chemistry Letters and Reviews, 2:1, 9-21, DOI: 10.1080/17518250902820182</w:t>
      </w:r>
      <w:r w:rsidR="00BE2F0E">
        <w:rPr>
          <w:color w:val="000000" w:themeColor="text1"/>
          <w:sz w:val="28"/>
          <w:szCs w:val="28"/>
        </w:rPr>
        <w:t xml:space="preserve"> </w:t>
      </w:r>
      <w:r w:rsidR="00BE2F0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hyperlink r:id="rId6" w:history="1">
        <w:r w:rsidR="00BE2F0E" w:rsidRPr="00BE2F0E">
          <w:rPr>
            <w:rStyle w:val="Hyperlink"/>
            <w:rFonts w:cstheme="minorHAnsi"/>
            <w:color w:val="auto"/>
            <w:sz w:val="28"/>
            <w:szCs w:val="28"/>
          </w:rPr>
          <w:t>https://www.tandfonline.com/doi/full/10.1080/17518250902820182</w:t>
        </w:r>
      </w:hyperlink>
    </w:p>
    <w:bookmarkEnd w:id="2"/>
    <w:p w14:paraId="7FC99B7C" w14:textId="745EEF09" w:rsidR="00EE7E0B" w:rsidRPr="00EE7E0B" w:rsidRDefault="00EE7E0B" w:rsidP="00EE7E0B">
      <w:pPr>
        <w:rPr>
          <w:b/>
          <w:color w:val="4472C4" w:themeColor="accent1"/>
          <w:sz w:val="28"/>
          <w:szCs w:val="28"/>
        </w:rPr>
      </w:pPr>
    </w:p>
    <w:p w14:paraId="539EA5E7" w14:textId="0FAA5A64" w:rsidR="00EE7E0B" w:rsidRDefault="00EE7E0B" w:rsidP="00EE7E0B">
      <w:pPr>
        <w:rPr>
          <w:b/>
          <w:color w:val="4472C4" w:themeColor="accent1"/>
          <w:sz w:val="28"/>
          <w:szCs w:val="28"/>
        </w:rPr>
      </w:pPr>
      <w:r>
        <w:rPr>
          <w:b/>
          <w:color w:val="4472C4" w:themeColor="accent1"/>
          <w:sz w:val="28"/>
          <w:szCs w:val="28"/>
        </w:rPr>
        <w:t>Topics to Cover</w:t>
      </w:r>
    </w:p>
    <w:p w14:paraId="155A6D59" w14:textId="556D8387" w:rsidR="00BD2F91" w:rsidRPr="00852049" w:rsidRDefault="00BD2F91" w:rsidP="00BD2F91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852049">
        <w:rPr>
          <w:color w:val="000000" w:themeColor="text1"/>
          <w:sz w:val="28"/>
          <w:szCs w:val="28"/>
        </w:rPr>
        <w:t xml:space="preserve">Understand there are other options available </w:t>
      </w:r>
      <w:r w:rsidR="00F5406F" w:rsidRPr="00852049">
        <w:rPr>
          <w:color w:val="000000" w:themeColor="text1"/>
          <w:sz w:val="28"/>
          <w:szCs w:val="28"/>
        </w:rPr>
        <w:t>to solvent usage</w:t>
      </w:r>
    </w:p>
    <w:p w14:paraId="655BB911" w14:textId="527C99B7" w:rsidR="00F5406F" w:rsidRPr="00852049" w:rsidRDefault="00FC6E26" w:rsidP="00BD2F91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852049">
        <w:rPr>
          <w:color w:val="000000" w:themeColor="text1"/>
          <w:sz w:val="28"/>
          <w:szCs w:val="28"/>
        </w:rPr>
        <w:t>Supercritical Fluids</w:t>
      </w:r>
    </w:p>
    <w:p w14:paraId="1121F506" w14:textId="239B34F9" w:rsidR="00FC6E26" w:rsidRPr="00852049" w:rsidRDefault="00FC6E26" w:rsidP="00BD2F91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852049">
        <w:rPr>
          <w:color w:val="000000" w:themeColor="text1"/>
          <w:sz w:val="28"/>
          <w:szCs w:val="28"/>
        </w:rPr>
        <w:t>Ionic Liquids</w:t>
      </w:r>
    </w:p>
    <w:p w14:paraId="144C08C2" w14:textId="2EFCDE84" w:rsidR="00FC6E26" w:rsidRPr="00852049" w:rsidRDefault="00FC6E26" w:rsidP="00BD2F91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852049">
        <w:rPr>
          <w:color w:val="000000" w:themeColor="text1"/>
          <w:sz w:val="28"/>
          <w:szCs w:val="28"/>
        </w:rPr>
        <w:t>Water</w:t>
      </w:r>
    </w:p>
    <w:p w14:paraId="35F140C0" w14:textId="7D216678" w:rsidR="00FC6E26" w:rsidRPr="00852049" w:rsidRDefault="00FC6E26" w:rsidP="00BD2F91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852049">
        <w:rPr>
          <w:color w:val="000000" w:themeColor="text1"/>
          <w:sz w:val="28"/>
          <w:szCs w:val="28"/>
        </w:rPr>
        <w:t>Solvent-free conditions</w:t>
      </w:r>
    </w:p>
    <w:p w14:paraId="05650A8D" w14:textId="6A5B20EC" w:rsidR="00FC6E26" w:rsidRPr="00852049" w:rsidRDefault="00FC6E26" w:rsidP="00BD2F91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852049">
        <w:rPr>
          <w:color w:val="000000" w:themeColor="text1"/>
          <w:sz w:val="28"/>
          <w:szCs w:val="28"/>
        </w:rPr>
        <w:t>A Tiered approach to solvent substitutions</w:t>
      </w:r>
    </w:p>
    <w:p w14:paraId="6AE29B98" w14:textId="77777777" w:rsidR="00EE7E0B" w:rsidRDefault="00EE7E0B" w:rsidP="00EE7E0B">
      <w:pPr>
        <w:rPr>
          <w:b/>
          <w:color w:val="4472C4" w:themeColor="accent1"/>
          <w:sz w:val="28"/>
          <w:szCs w:val="28"/>
        </w:rPr>
      </w:pPr>
    </w:p>
    <w:p w14:paraId="79052A5F" w14:textId="055FDA54" w:rsidR="00EE7E0B" w:rsidRDefault="00EE7E0B" w:rsidP="00EE7E0B">
      <w:pPr>
        <w:rPr>
          <w:b/>
          <w:color w:val="4472C4" w:themeColor="accent1"/>
          <w:sz w:val="28"/>
          <w:szCs w:val="28"/>
        </w:rPr>
      </w:pPr>
      <w:r w:rsidRPr="00EE7E0B">
        <w:rPr>
          <w:b/>
          <w:color w:val="4472C4" w:themeColor="accent1"/>
          <w:sz w:val="28"/>
          <w:szCs w:val="28"/>
        </w:rPr>
        <w:t>Class</w:t>
      </w:r>
      <w:r w:rsidR="00852049">
        <w:rPr>
          <w:b/>
          <w:color w:val="4472C4" w:themeColor="accent1"/>
          <w:sz w:val="28"/>
          <w:szCs w:val="28"/>
        </w:rPr>
        <w:t xml:space="preserve"> Exercise:</w:t>
      </w:r>
    </w:p>
    <w:p w14:paraId="184FA72F" w14:textId="77B38EA7" w:rsidR="00BD2F91" w:rsidRDefault="00BD2F91" w:rsidP="00BD2F91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852049">
        <w:rPr>
          <w:color w:val="000000" w:themeColor="text1"/>
          <w:sz w:val="28"/>
          <w:szCs w:val="28"/>
        </w:rPr>
        <w:t xml:space="preserve">No </w:t>
      </w:r>
      <w:r w:rsidR="00E617D5">
        <w:rPr>
          <w:color w:val="000000" w:themeColor="text1"/>
          <w:sz w:val="28"/>
          <w:szCs w:val="28"/>
        </w:rPr>
        <w:t>c</w:t>
      </w:r>
      <w:r w:rsidRPr="00852049">
        <w:rPr>
          <w:color w:val="000000" w:themeColor="text1"/>
          <w:sz w:val="28"/>
          <w:szCs w:val="28"/>
        </w:rPr>
        <w:t xml:space="preserve">lass </w:t>
      </w:r>
      <w:r w:rsidR="00E617D5">
        <w:rPr>
          <w:color w:val="000000" w:themeColor="text1"/>
          <w:sz w:val="28"/>
          <w:szCs w:val="28"/>
        </w:rPr>
        <w:t>exercise</w:t>
      </w:r>
      <w:r w:rsidRPr="00852049">
        <w:rPr>
          <w:color w:val="000000" w:themeColor="text1"/>
          <w:sz w:val="28"/>
          <w:szCs w:val="28"/>
        </w:rPr>
        <w:t xml:space="preserve"> for this lecture</w:t>
      </w:r>
    </w:p>
    <w:p w14:paraId="65EE809C" w14:textId="77777777" w:rsidR="007E6873" w:rsidRDefault="007E6873" w:rsidP="00F61F71">
      <w:pPr>
        <w:rPr>
          <w:b/>
          <w:color w:val="4472C4" w:themeColor="accent1"/>
          <w:sz w:val="28"/>
          <w:szCs w:val="28"/>
        </w:rPr>
      </w:pPr>
    </w:p>
    <w:p w14:paraId="19E190F2" w14:textId="77777777" w:rsidR="00CD1C2D" w:rsidRPr="000162F3" w:rsidRDefault="00CD1C2D" w:rsidP="00CD1C2D">
      <w:r>
        <w:rPr>
          <w:b/>
          <w:color w:val="4472C4" w:themeColor="accent1"/>
          <w:sz w:val="28"/>
          <w:szCs w:val="28"/>
        </w:rPr>
        <w:t>Homework</w:t>
      </w:r>
    </w:p>
    <w:p w14:paraId="7D824510" w14:textId="77777777" w:rsidR="00CD1C2D" w:rsidRPr="00A00154" w:rsidRDefault="00CD1C2D" w:rsidP="00CD1C2D">
      <w:pPr>
        <w:pStyle w:val="ListParagraph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 w:rsidRPr="00A00154">
        <w:rPr>
          <w:rFonts w:cstheme="minorHAnsi"/>
          <w:bCs/>
          <w:color w:val="000000" w:themeColor="text1"/>
          <w:sz w:val="28"/>
          <w:szCs w:val="28"/>
        </w:rPr>
        <w:t xml:space="preserve">Assign Homework #4: </w:t>
      </w:r>
      <w:r w:rsidRPr="00A00154">
        <w:rPr>
          <w:rFonts w:cstheme="minorHAnsi"/>
          <w:sz w:val="28"/>
          <w:szCs w:val="28"/>
        </w:rPr>
        <w:t>Solvent Substitution: CHEM21 Solvent Selection Guide</w:t>
      </w:r>
    </w:p>
    <w:p w14:paraId="09A07D03" w14:textId="77777777" w:rsidR="00CD1C2D" w:rsidRPr="00AE106E" w:rsidRDefault="00CD1C2D" w:rsidP="00CD1C2D">
      <w:pPr>
        <w:pStyle w:val="ListParagraph"/>
        <w:numPr>
          <w:ilvl w:val="1"/>
          <w:numId w:val="4"/>
        </w:numPr>
        <w:rPr>
          <w:rFonts w:cstheme="minorHAnsi"/>
          <w:b/>
        </w:rPr>
      </w:pPr>
      <w:r w:rsidRPr="00AE106E">
        <w:rPr>
          <w:rFonts w:cstheme="minorHAnsi"/>
        </w:rPr>
        <w:t>Required reading for the homework</w:t>
      </w:r>
      <w:r w:rsidRPr="00AE106E">
        <w:rPr>
          <w:rFonts w:cstheme="minorHAnsi"/>
          <w:b/>
        </w:rPr>
        <w:t xml:space="preserve">: </w:t>
      </w:r>
      <w:hyperlink r:id="rId7" w:anchor="!divAbstract" w:history="1">
        <w:r w:rsidRPr="00AE106E">
          <w:rPr>
            <w:rStyle w:val="Hyperlink"/>
            <w:color w:val="auto"/>
          </w:rPr>
          <w:t>https://pubs.rsc.org/en/content/articlelanding/gc/2016/c5gc01008j#!divAbstract</w:t>
        </w:r>
      </w:hyperlink>
      <w:r w:rsidRPr="00AE106E">
        <w:rPr>
          <w:rStyle w:val="Hyperlink"/>
          <w:color w:val="auto"/>
          <w:u w:val="none"/>
        </w:rPr>
        <w:t xml:space="preserve">  </w:t>
      </w:r>
      <w:r w:rsidRPr="00AE106E">
        <w:t xml:space="preserve">CHEM21 selection guide of classical- and less classical solvents, Green Chem., 2016, 18, 288-296. </w:t>
      </w:r>
      <w:r w:rsidRPr="00AE106E">
        <w:rPr>
          <w:rStyle w:val="Hyperlink"/>
          <w:rFonts w:cstheme="minorHAnsi"/>
          <w:color w:val="auto"/>
          <w:u w:val="none"/>
        </w:rPr>
        <w:t xml:space="preserve">(File name: CHEM21 </w:t>
      </w:r>
      <w:proofErr w:type="spellStart"/>
      <w:r w:rsidRPr="00AE106E">
        <w:rPr>
          <w:rStyle w:val="Hyperlink"/>
          <w:rFonts w:cstheme="minorHAnsi"/>
          <w:color w:val="auto"/>
          <w:u w:val="none"/>
        </w:rPr>
        <w:t>article_Green</w:t>
      </w:r>
      <w:proofErr w:type="spellEnd"/>
      <w:r w:rsidRPr="00AE106E">
        <w:rPr>
          <w:rStyle w:val="Hyperlink"/>
          <w:rFonts w:cstheme="minorHAnsi"/>
          <w:color w:val="auto"/>
          <w:u w:val="none"/>
        </w:rPr>
        <w:t xml:space="preserve"> Chem_2016.pdf)</w:t>
      </w:r>
    </w:p>
    <w:p w14:paraId="6CE89BDA" w14:textId="77777777" w:rsidR="00CD1C2D" w:rsidRPr="00AE106E" w:rsidRDefault="00CD1C2D" w:rsidP="00CD1C2D">
      <w:pPr>
        <w:pStyle w:val="ListParagraph"/>
        <w:numPr>
          <w:ilvl w:val="1"/>
          <w:numId w:val="1"/>
        </w:numPr>
        <w:rPr>
          <w:rFonts w:cstheme="minorHAnsi"/>
          <w:bCs/>
        </w:rPr>
      </w:pPr>
      <w:bookmarkStart w:id="3" w:name="_Hlk532477118"/>
      <w:r w:rsidRPr="00AE106E">
        <w:rPr>
          <w:rFonts w:cstheme="minorHAnsi"/>
          <w:bCs/>
        </w:rPr>
        <w:t xml:space="preserve">Students will evaluate two </w:t>
      </w:r>
      <w:proofErr w:type="spellStart"/>
      <w:r w:rsidRPr="00AE106E">
        <w:rPr>
          <w:rFonts w:cstheme="minorHAnsi"/>
          <w:bCs/>
        </w:rPr>
        <w:t>InkJet</w:t>
      </w:r>
      <w:proofErr w:type="spellEnd"/>
      <w:r w:rsidRPr="00AE106E">
        <w:rPr>
          <w:rFonts w:cstheme="minorHAnsi"/>
          <w:bCs/>
        </w:rPr>
        <w:t xml:space="preserve"> ink formulations. If you would like to use a synthetic chemistry example, use the solvent selection exercise that can be found on the CHEM21 website: </w:t>
      </w:r>
      <w:hyperlink r:id="rId8" w:history="1">
        <w:r w:rsidRPr="00AE106E">
          <w:rPr>
            <w:rStyle w:val="Hyperlink"/>
            <w:rFonts w:cstheme="minorHAnsi"/>
            <w:bCs/>
            <w:color w:val="auto"/>
          </w:rPr>
          <w:t>http://learning.chem21.eu/methods-of-facilitating-change/tools-and-guides/final-self-assessment-test/</w:t>
        </w:r>
      </w:hyperlink>
      <w:r w:rsidRPr="00AE106E">
        <w:rPr>
          <w:rFonts w:cstheme="minorHAnsi"/>
          <w:bCs/>
        </w:rPr>
        <w:t xml:space="preserve"> </w:t>
      </w:r>
    </w:p>
    <w:bookmarkEnd w:id="3"/>
    <w:p w14:paraId="3E74A064" w14:textId="164616B3" w:rsidR="00F61F71" w:rsidRPr="00F61F71" w:rsidRDefault="00F61F71" w:rsidP="00CD1C2D">
      <w:pPr>
        <w:rPr>
          <w:sz w:val="28"/>
          <w:szCs w:val="28"/>
        </w:rPr>
      </w:pPr>
    </w:p>
    <w:sectPr w:rsidR="00F61F71" w:rsidRPr="00F61F71" w:rsidSect="00D84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322DC"/>
    <w:multiLevelType w:val="hybridMultilevel"/>
    <w:tmpl w:val="92425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45C73"/>
    <w:multiLevelType w:val="hybridMultilevel"/>
    <w:tmpl w:val="04D82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D3418"/>
    <w:multiLevelType w:val="hybridMultilevel"/>
    <w:tmpl w:val="89E6B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52180"/>
    <w:multiLevelType w:val="hybridMultilevel"/>
    <w:tmpl w:val="A45E4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C3"/>
    <w:rsid w:val="001148A2"/>
    <w:rsid w:val="001C2C80"/>
    <w:rsid w:val="005B320A"/>
    <w:rsid w:val="006012EF"/>
    <w:rsid w:val="00690D5C"/>
    <w:rsid w:val="006E13C3"/>
    <w:rsid w:val="006E26ED"/>
    <w:rsid w:val="00761101"/>
    <w:rsid w:val="007E6873"/>
    <w:rsid w:val="00852049"/>
    <w:rsid w:val="0086105B"/>
    <w:rsid w:val="009F208A"/>
    <w:rsid w:val="00A15BFF"/>
    <w:rsid w:val="00BD2F91"/>
    <w:rsid w:val="00BE2F0E"/>
    <w:rsid w:val="00C65AAA"/>
    <w:rsid w:val="00C91106"/>
    <w:rsid w:val="00CD1C2D"/>
    <w:rsid w:val="00D03C06"/>
    <w:rsid w:val="00D84BAC"/>
    <w:rsid w:val="00E617D5"/>
    <w:rsid w:val="00EE7E0B"/>
    <w:rsid w:val="00F5406F"/>
    <w:rsid w:val="00F60823"/>
    <w:rsid w:val="00F61F71"/>
    <w:rsid w:val="00FC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765CB"/>
  <w14:defaultImageDpi w14:val="32767"/>
  <w15:chartTrackingRefBased/>
  <w15:docId w15:val="{A3E0B929-F34B-D24B-92BD-72A0869E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0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2F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ing.chem21.eu/methods-of-facilitating-change/tools-and-guides/final-self-assessment-te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bs.rsc.org/en/content/articlelanding/gc/2016/c5gc0100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ndfonline.com/doi/full/10.1080/17518250902820182" TargetMode="External"/><Relationship Id="rId5" Type="http://schemas.openxmlformats.org/officeDocument/2006/relationships/hyperlink" Target="https://www.tandfonline.com/doi/full/10.1080/17518250903164549?scroll=top&amp;needAccess=tru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Ward</dc:creator>
  <cp:keywords/>
  <dc:description/>
  <cp:lastModifiedBy>Chapman, Kimberly</cp:lastModifiedBy>
  <cp:revision>19</cp:revision>
  <dcterms:created xsi:type="dcterms:W3CDTF">2018-10-18T16:01:00Z</dcterms:created>
  <dcterms:modified xsi:type="dcterms:W3CDTF">2019-01-31T17:44:00Z</dcterms:modified>
</cp:coreProperties>
</file>