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9E737" w14:textId="77777777" w:rsidR="009715FD" w:rsidRDefault="00F42CF4">
      <w:r>
        <w:t>Recommended Reading List</w:t>
      </w:r>
      <w:r w:rsidR="00297849">
        <w:t>:</w:t>
      </w:r>
    </w:p>
    <w:p w14:paraId="22080BBD" w14:textId="77777777" w:rsidR="00297849" w:rsidRDefault="00297849"/>
    <w:p w14:paraId="29B71493" w14:textId="77777777" w:rsidR="00BA1CCA" w:rsidRPr="0038192D" w:rsidRDefault="00BA1CCA" w:rsidP="00367D20">
      <w:pPr>
        <w:pStyle w:val="p1"/>
        <w:numPr>
          <w:ilvl w:val="0"/>
          <w:numId w:val="1"/>
        </w:numPr>
        <w:rPr>
          <w:rFonts w:ascii="Calibri" w:hAnsi="Calibri"/>
          <w:sz w:val="22"/>
          <w:szCs w:val="22"/>
        </w:rPr>
      </w:pPr>
      <w:r w:rsidRPr="0038192D">
        <w:rPr>
          <w:rFonts w:ascii="Calibri" w:hAnsi="Calibri"/>
          <w:sz w:val="22"/>
          <w:szCs w:val="22"/>
        </w:rPr>
        <w:t xml:space="preserve">Paul Anastas, et al. (2016). "“Happy silver anniversary”: Green Chemistry at 25." </w:t>
      </w:r>
      <w:r w:rsidRPr="0038192D">
        <w:rPr>
          <w:rStyle w:val="s1"/>
          <w:rFonts w:ascii="Calibri" w:hAnsi="Calibri"/>
          <w:sz w:val="22"/>
          <w:szCs w:val="22"/>
        </w:rPr>
        <w:t>Green Chemistry</w:t>
      </w:r>
      <w:r w:rsidRPr="0038192D">
        <w:rPr>
          <w:rFonts w:ascii="Calibri" w:hAnsi="Calibri"/>
          <w:sz w:val="22"/>
          <w:szCs w:val="22"/>
        </w:rPr>
        <w:t xml:space="preserve"> </w:t>
      </w:r>
      <w:r w:rsidRPr="0038192D">
        <w:rPr>
          <w:rFonts w:ascii="Calibri" w:hAnsi="Calibri"/>
          <w:b/>
          <w:bCs/>
          <w:sz w:val="22"/>
          <w:szCs w:val="22"/>
        </w:rPr>
        <w:t>18</w:t>
      </w:r>
      <w:r w:rsidRPr="0038192D">
        <w:rPr>
          <w:rFonts w:ascii="Calibri" w:hAnsi="Calibri"/>
          <w:sz w:val="22"/>
          <w:szCs w:val="22"/>
        </w:rPr>
        <w:t>(1): 12-13.</w:t>
      </w:r>
    </w:p>
    <w:p w14:paraId="6F9D06BE" w14:textId="77777777" w:rsidR="00BA1CCA" w:rsidRPr="0038192D" w:rsidRDefault="00BA1CCA" w:rsidP="00367D20">
      <w:pPr>
        <w:pStyle w:val="p2"/>
        <w:ind w:firstLine="0"/>
        <w:rPr>
          <w:rFonts w:ascii="Calibri" w:hAnsi="Calibri"/>
          <w:sz w:val="22"/>
          <w:szCs w:val="22"/>
        </w:rPr>
      </w:pPr>
    </w:p>
    <w:p w14:paraId="7618A1D4" w14:textId="77777777" w:rsidR="00BA1CCA" w:rsidRPr="0038192D" w:rsidRDefault="00BA1CCA" w:rsidP="00367D20">
      <w:pPr>
        <w:pStyle w:val="p1"/>
        <w:numPr>
          <w:ilvl w:val="0"/>
          <w:numId w:val="1"/>
        </w:numPr>
        <w:rPr>
          <w:rFonts w:ascii="Calibri" w:hAnsi="Calibri"/>
          <w:sz w:val="22"/>
          <w:szCs w:val="22"/>
        </w:rPr>
      </w:pPr>
      <w:r w:rsidRPr="0038192D">
        <w:rPr>
          <w:rFonts w:ascii="Calibri" w:hAnsi="Calibri"/>
          <w:sz w:val="22"/>
          <w:szCs w:val="22"/>
        </w:rPr>
        <w:t>Coish, P., et al. (2016). Current Status and Future Challenges in Molecular Design for Reduced Hazard, American Chemical Society.</w:t>
      </w:r>
    </w:p>
    <w:p w14:paraId="2A053721" w14:textId="77777777" w:rsidR="00BA1CCA" w:rsidRPr="0038192D" w:rsidRDefault="00BA1CCA" w:rsidP="00367D20">
      <w:pPr>
        <w:pStyle w:val="p2"/>
        <w:ind w:firstLine="0"/>
        <w:rPr>
          <w:rFonts w:ascii="Calibri" w:hAnsi="Calibri"/>
          <w:sz w:val="22"/>
          <w:szCs w:val="22"/>
        </w:rPr>
      </w:pPr>
    </w:p>
    <w:p w14:paraId="2520C33C" w14:textId="77777777" w:rsidR="00BA1CCA" w:rsidRPr="0038192D" w:rsidRDefault="00BA1CCA" w:rsidP="00367D20">
      <w:pPr>
        <w:pStyle w:val="p1"/>
        <w:numPr>
          <w:ilvl w:val="0"/>
          <w:numId w:val="1"/>
        </w:numPr>
        <w:rPr>
          <w:rFonts w:ascii="Calibri" w:hAnsi="Calibri"/>
          <w:sz w:val="22"/>
          <w:szCs w:val="22"/>
        </w:rPr>
      </w:pPr>
      <w:r w:rsidRPr="0038192D">
        <w:rPr>
          <w:rFonts w:ascii="Calibri" w:hAnsi="Calibri"/>
          <w:sz w:val="22"/>
          <w:szCs w:val="22"/>
        </w:rPr>
        <w:t xml:space="preserve">Anastas, P. T. and J. B. Zimmerman (2016). "Safer by Design." </w:t>
      </w:r>
      <w:r w:rsidRPr="0038192D">
        <w:rPr>
          <w:rStyle w:val="s1"/>
          <w:rFonts w:ascii="Calibri" w:hAnsi="Calibri"/>
          <w:sz w:val="22"/>
          <w:szCs w:val="22"/>
        </w:rPr>
        <w:t>Green Chemistry</w:t>
      </w:r>
      <w:r w:rsidRPr="0038192D">
        <w:rPr>
          <w:rFonts w:ascii="Calibri" w:hAnsi="Calibri"/>
          <w:sz w:val="22"/>
          <w:szCs w:val="22"/>
        </w:rPr>
        <w:t xml:space="preserve"> </w:t>
      </w:r>
      <w:r w:rsidRPr="0038192D">
        <w:rPr>
          <w:rFonts w:ascii="Calibri" w:hAnsi="Calibri"/>
          <w:b/>
          <w:bCs/>
          <w:sz w:val="22"/>
          <w:szCs w:val="22"/>
        </w:rPr>
        <w:t>18</w:t>
      </w:r>
      <w:r w:rsidRPr="0038192D">
        <w:rPr>
          <w:rFonts w:ascii="Calibri" w:hAnsi="Calibri"/>
          <w:sz w:val="22"/>
          <w:szCs w:val="22"/>
        </w:rPr>
        <w:t>(16): 4324-4324.</w:t>
      </w:r>
    </w:p>
    <w:p w14:paraId="74EE8AE4" w14:textId="77777777" w:rsidR="00BA1CCA" w:rsidRPr="0038192D" w:rsidRDefault="00BA1CCA" w:rsidP="00367D20">
      <w:pPr>
        <w:pStyle w:val="p2"/>
        <w:ind w:firstLine="0"/>
        <w:rPr>
          <w:rFonts w:ascii="Calibri" w:hAnsi="Calibri"/>
          <w:sz w:val="22"/>
          <w:szCs w:val="22"/>
        </w:rPr>
      </w:pPr>
    </w:p>
    <w:p w14:paraId="7E535292" w14:textId="77777777" w:rsidR="00BA1CCA" w:rsidRPr="0038192D" w:rsidRDefault="00BA1CCA" w:rsidP="00367D20">
      <w:pPr>
        <w:pStyle w:val="p1"/>
        <w:numPr>
          <w:ilvl w:val="0"/>
          <w:numId w:val="1"/>
        </w:numPr>
        <w:rPr>
          <w:rFonts w:ascii="Calibri" w:hAnsi="Calibri"/>
          <w:sz w:val="22"/>
          <w:szCs w:val="22"/>
        </w:rPr>
      </w:pPr>
      <w:r w:rsidRPr="0038192D">
        <w:rPr>
          <w:rFonts w:ascii="Calibri" w:hAnsi="Calibri"/>
          <w:sz w:val="22"/>
          <w:szCs w:val="22"/>
        </w:rPr>
        <w:t>Anastas, P. T. and D. T. Allen (2016). Twenty-Five Years of Green Chemistry and Green Engineering: The End of the Beginning, American Chemical Society.</w:t>
      </w:r>
    </w:p>
    <w:p w14:paraId="5D93B415" w14:textId="77777777" w:rsidR="00BA1CCA" w:rsidRPr="0038192D" w:rsidRDefault="00BA1CCA" w:rsidP="00367D20">
      <w:pPr>
        <w:pStyle w:val="p2"/>
        <w:ind w:firstLine="0"/>
        <w:rPr>
          <w:rFonts w:ascii="Calibri" w:hAnsi="Calibri"/>
          <w:sz w:val="22"/>
          <w:szCs w:val="22"/>
        </w:rPr>
      </w:pPr>
    </w:p>
    <w:p w14:paraId="06706C03" w14:textId="77777777" w:rsidR="00BA1CCA" w:rsidRPr="0038192D" w:rsidRDefault="00BA1CCA" w:rsidP="00367D20">
      <w:pPr>
        <w:pStyle w:val="p1"/>
        <w:numPr>
          <w:ilvl w:val="0"/>
          <w:numId w:val="1"/>
        </w:numPr>
        <w:rPr>
          <w:rFonts w:ascii="Calibri" w:hAnsi="Calibri"/>
          <w:sz w:val="22"/>
          <w:szCs w:val="22"/>
        </w:rPr>
      </w:pPr>
      <w:r w:rsidRPr="0038192D">
        <w:rPr>
          <w:rFonts w:ascii="Calibri" w:hAnsi="Calibri"/>
          <w:sz w:val="22"/>
          <w:szCs w:val="22"/>
        </w:rPr>
        <w:t xml:space="preserve">Zimmerman, J. B. and P. T. Anastas (2015). "Toward designing safer chemicals." </w:t>
      </w:r>
      <w:r w:rsidRPr="0038192D">
        <w:rPr>
          <w:rStyle w:val="s1"/>
          <w:rFonts w:ascii="Calibri" w:hAnsi="Calibri"/>
          <w:sz w:val="22"/>
          <w:szCs w:val="22"/>
        </w:rPr>
        <w:t>Science</w:t>
      </w:r>
      <w:r w:rsidRPr="0038192D">
        <w:rPr>
          <w:rFonts w:ascii="Calibri" w:hAnsi="Calibri"/>
          <w:sz w:val="22"/>
          <w:szCs w:val="22"/>
        </w:rPr>
        <w:t xml:space="preserve"> </w:t>
      </w:r>
      <w:r w:rsidRPr="0038192D">
        <w:rPr>
          <w:rFonts w:ascii="Calibri" w:hAnsi="Calibri"/>
          <w:b/>
          <w:bCs/>
          <w:sz w:val="22"/>
          <w:szCs w:val="22"/>
        </w:rPr>
        <w:t>347</w:t>
      </w:r>
      <w:r w:rsidRPr="0038192D">
        <w:rPr>
          <w:rFonts w:ascii="Calibri" w:hAnsi="Calibri"/>
          <w:sz w:val="22"/>
          <w:szCs w:val="22"/>
        </w:rPr>
        <w:t>(6219): 215-215.</w:t>
      </w:r>
    </w:p>
    <w:p w14:paraId="21EC7586" w14:textId="77777777" w:rsidR="00BA1CCA" w:rsidRPr="0038192D" w:rsidRDefault="00BA1CCA" w:rsidP="00367D20">
      <w:pPr>
        <w:pStyle w:val="p2"/>
        <w:ind w:firstLine="0"/>
        <w:rPr>
          <w:rFonts w:ascii="Calibri" w:hAnsi="Calibri"/>
          <w:sz w:val="22"/>
          <w:szCs w:val="22"/>
        </w:rPr>
      </w:pPr>
    </w:p>
    <w:p w14:paraId="076565A2" w14:textId="77777777" w:rsidR="00BA1CCA" w:rsidRPr="0038192D" w:rsidRDefault="00BA1CCA" w:rsidP="00367D20">
      <w:pPr>
        <w:pStyle w:val="p1"/>
        <w:numPr>
          <w:ilvl w:val="0"/>
          <w:numId w:val="1"/>
        </w:numPr>
        <w:rPr>
          <w:rFonts w:ascii="Calibri" w:hAnsi="Calibri"/>
          <w:sz w:val="22"/>
          <w:szCs w:val="22"/>
        </w:rPr>
      </w:pPr>
      <w:r w:rsidRPr="0038192D">
        <w:rPr>
          <w:rFonts w:ascii="Calibri" w:hAnsi="Calibri"/>
          <w:sz w:val="22"/>
          <w:szCs w:val="22"/>
        </w:rPr>
        <w:t xml:space="preserve">Zimmerman, J. B. and P. T. Anastas (2015). "Toward substitution with no regrets." </w:t>
      </w:r>
      <w:r w:rsidRPr="0038192D">
        <w:rPr>
          <w:rStyle w:val="s1"/>
          <w:rFonts w:ascii="Calibri" w:hAnsi="Calibri"/>
          <w:sz w:val="22"/>
          <w:szCs w:val="22"/>
        </w:rPr>
        <w:t>Science</w:t>
      </w:r>
      <w:r w:rsidRPr="0038192D">
        <w:rPr>
          <w:rFonts w:ascii="Calibri" w:hAnsi="Calibri"/>
          <w:sz w:val="22"/>
          <w:szCs w:val="22"/>
        </w:rPr>
        <w:t xml:space="preserve"> </w:t>
      </w:r>
      <w:r w:rsidRPr="0038192D">
        <w:rPr>
          <w:rFonts w:ascii="Calibri" w:hAnsi="Calibri"/>
          <w:b/>
          <w:bCs/>
          <w:sz w:val="22"/>
          <w:szCs w:val="22"/>
        </w:rPr>
        <w:t>347</w:t>
      </w:r>
      <w:r w:rsidRPr="0038192D">
        <w:rPr>
          <w:rFonts w:ascii="Calibri" w:hAnsi="Calibri"/>
          <w:sz w:val="22"/>
          <w:szCs w:val="22"/>
        </w:rPr>
        <w:t>(6227): 1198-1199.</w:t>
      </w:r>
    </w:p>
    <w:p w14:paraId="57F8A40F" w14:textId="77777777" w:rsidR="00BA1CCA" w:rsidRPr="0038192D" w:rsidRDefault="00BA1CCA" w:rsidP="00367D20">
      <w:pPr>
        <w:pStyle w:val="p2"/>
        <w:ind w:firstLine="0"/>
        <w:rPr>
          <w:rFonts w:ascii="Calibri" w:hAnsi="Calibri"/>
          <w:sz w:val="22"/>
          <w:szCs w:val="22"/>
        </w:rPr>
      </w:pPr>
    </w:p>
    <w:p w14:paraId="78BAB3BB" w14:textId="77777777" w:rsidR="00BA1CCA" w:rsidRPr="0038192D" w:rsidRDefault="00BA1CCA" w:rsidP="00367D20">
      <w:pPr>
        <w:pStyle w:val="p1"/>
        <w:numPr>
          <w:ilvl w:val="0"/>
          <w:numId w:val="1"/>
        </w:numPr>
        <w:rPr>
          <w:rFonts w:ascii="Calibri" w:hAnsi="Calibri"/>
          <w:sz w:val="22"/>
          <w:szCs w:val="22"/>
        </w:rPr>
      </w:pPr>
      <w:r w:rsidRPr="0038192D">
        <w:rPr>
          <w:rFonts w:ascii="Calibri" w:hAnsi="Calibri"/>
          <w:sz w:val="22"/>
          <w:szCs w:val="22"/>
        </w:rPr>
        <w:t xml:space="preserve">Matus, K. J. M., et al. (2012). "Barriers to the Implementation of Green Chemistry in the United States." </w:t>
      </w:r>
      <w:r w:rsidRPr="0038192D">
        <w:rPr>
          <w:rStyle w:val="s1"/>
          <w:rFonts w:ascii="Calibri" w:hAnsi="Calibri"/>
          <w:sz w:val="22"/>
          <w:szCs w:val="22"/>
        </w:rPr>
        <w:t>Environmental Science &amp; Technology</w:t>
      </w:r>
      <w:r w:rsidRPr="0038192D">
        <w:rPr>
          <w:rFonts w:ascii="Calibri" w:hAnsi="Calibri"/>
          <w:sz w:val="22"/>
          <w:szCs w:val="22"/>
        </w:rPr>
        <w:t xml:space="preserve"> </w:t>
      </w:r>
      <w:r w:rsidRPr="0038192D">
        <w:rPr>
          <w:rFonts w:ascii="Calibri" w:hAnsi="Calibri"/>
          <w:b/>
          <w:bCs/>
          <w:sz w:val="22"/>
          <w:szCs w:val="22"/>
        </w:rPr>
        <w:t>46</w:t>
      </w:r>
      <w:r w:rsidRPr="0038192D">
        <w:rPr>
          <w:rFonts w:ascii="Calibri" w:hAnsi="Calibri"/>
          <w:sz w:val="22"/>
          <w:szCs w:val="22"/>
        </w:rPr>
        <w:t>(20): 10892-10899.</w:t>
      </w:r>
    </w:p>
    <w:p w14:paraId="2D8DF66F" w14:textId="77777777" w:rsidR="00BA1CCA" w:rsidRPr="0038192D" w:rsidRDefault="00BA1CCA" w:rsidP="00367D20">
      <w:pPr>
        <w:pStyle w:val="p2"/>
        <w:ind w:firstLine="0"/>
        <w:rPr>
          <w:rFonts w:ascii="Calibri" w:hAnsi="Calibri"/>
          <w:sz w:val="22"/>
          <w:szCs w:val="22"/>
        </w:rPr>
      </w:pPr>
    </w:p>
    <w:p w14:paraId="3A33D093" w14:textId="77777777" w:rsidR="00BA1CCA" w:rsidRPr="0038192D" w:rsidRDefault="00BA1CCA" w:rsidP="00367D20">
      <w:pPr>
        <w:pStyle w:val="p1"/>
        <w:numPr>
          <w:ilvl w:val="0"/>
          <w:numId w:val="1"/>
        </w:numPr>
        <w:rPr>
          <w:rFonts w:ascii="Calibri" w:hAnsi="Calibri"/>
          <w:sz w:val="22"/>
          <w:szCs w:val="22"/>
        </w:rPr>
      </w:pPr>
      <w:r w:rsidRPr="0038192D">
        <w:rPr>
          <w:rFonts w:ascii="Calibri" w:hAnsi="Calibri"/>
          <w:sz w:val="22"/>
          <w:szCs w:val="22"/>
        </w:rPr>
        <w:t xml:space="preserve">Li, C.-J. and P. T. Anastas (2012). "Green Chemistry: present and future." </w:t>
      </w:r>
      <w:r w:rsidRPr="0038192D">
        <w:rPr>
          <w:rStyle w:val="s1"/>
          <w:rFonts w:ascii="Calibri" w:hAnsi="Calibri"/>
          <w:sz w:val="22"/>
          <w:szCs w:val="22"/>
        </w:rPr>
        <w:t>Chemical Society Reviews</w:t>
      </w:r>
      <w:r w:rsidRPr="0038192D">
        <w:rPr>
          <w:rFonts w:ascii="Calibri" w:hAnsi="Calibri"/>
          <w:sz w:val="22"/>
          <w:szCs w:val="22"/>
        </w:rPr>
        <w:t xml:space="preserve"> </w:t>
      </w:r>
      <w:r w:rsidRPr="0038192D">
        <w:rPr>
          <w:rFonts w:ascii="Calibri" w:hAnsi="Calibri"/>
          <w:b/>
          <w:bCs/>
          <w:sz w:val="22"/>
          <w:szCs w:val="22"/>
        </w:rPr>
        <w:t>41</w:t>
      </w:r>
      <w:r w:rsidRPr="0038192D">
        <w:rPr>
          <w:rFonts w:ascii="Calibri" w:hAnsi="Calibri"/>
          <w:sz w:val="22"/>
          <w:szCs w:val="22"/>
        </w:rPr>
        <w:t>(4): 1413-1414.</w:t>
      </w:r>
    </w:p>
    <w:p w14:paraId="70D55F7B" w14:textId="77777777" w:rsidR="00BA1CCA" w:rsidRPr="0038192D" w:rsidRDefault="00BA1CCA" w:rsidP="00367D20">
      <w:pPr>
        <w:pStyle w:val="p2"/>
        <w:ind w:firstLine="0"/>
        <w:rPr>
          <w:rFonts w:ascii="Calibri" w:hAnsi="Calibri"/>
          <w:sz w:val="22"/>
          <w:szCs w:val="22"/>
        </w:rPr>
      </w:pPr>
    </w:p>
    <w:p w14:paraId="44BCE7D8" w14:textId="77777777" w:rsidR="00BA1CCA" w:rsidRPr="0038192D" w:rsidRDefault="00BA1CCA" w:rsidP="00367D20">
      <w:pPr>
        <w:pStyle w:val="p1"/>
        <w:numPr>
          <w:ilvl w:val="0"/>
          <w:numId w:val="1"/>
        </w:numPr>
        <w:rPr>
          <w:rFonts w:ascii="Calibri" w:hAnsi="Calibri"/>
          <w:sz w:val="22"/>
          <w:szCs w:val="22"/>
        </w:rPr>
      </w:pPr>
      <w:r w:rsidRPr="0038192D">
        <w:rPr>
          <w:rFonts w:ascii="Calibri" w:hAnsi="Calibri"/>
          <w:sz w:val="22"/>
          <w:szCs w:val="22"/>
        </w:rPr>
        <w:t xml:space="preserve">Mulvihill, M. J., et al. (2011). "Green Chemistry and Green Engineering: A Framework for Sustainable Technology Development." </w:t>
      </w:r>
      <w:r w:rsidRPr="0038192D">
        <w:rPr>
          <w:rStyle w:val="s1"/>
          <w:rFonts w:ascii="Calibri" w:hAnsi="Calibri"/>
          <w:sz w:val="22"/>
          <w:szCs w:val="22"/>
        </w:rPr>
        <w:t>Annual Review of Environmental and Resources</w:t>
      </w:r>
      <w:r w:rsidRPr="0038192D">
        <w:rPr>
          <w:rFonts w:ascii="Calibri" w:hAnsi="Calibri"/>
          <w:sz w:val="22"/>
          <w:szCs w:val="22"/>
        </w:rPr>
        <w:t xml:space="preserve"> </w:t>
      </w:r>
      <w:r w:rsidRPr="0038192D">
        <w:rPr>
          <w:rFonts w:ascii="Calibri" w:hAnsi="Calibri"/>
          <w:b/>
          <w:bCs/>
          <w:sz w:val="22"/>
          <w:szCs w:val="22"/>
        </w:rPr>
        <w:t>36</w:t>
      </w:r>
      <w:r w:rsidRPr="0038192D">
        <w:rPr>
          <w:rFonts w:ascii="Calibri" w:hAnsi="Calibri"/>
          <w:sz w:val="22"/>
          <w:szCs w:val="22"/>
        </w:rPr>
        <w:t>: 271 - 293.</w:t>
      </w:r>
    </w:p>
    <w:p w14:paraId="1E17348B" w14:textId="77777777" w:rsidR="00BA1CCA" w:rsidRPr="0038192D" w:rsidRDefault="00BA1CCA" w:rsidP="00367D20">
      <w:pPr>
        <w:pStyle w:val="p3"/>
        <w:ind w:left="720" w:firstLine="0"/>
        <w:rPr>
          <w:rFonts w:ascii="Calibri" w:hAnsi="Calibri"/>
          <w:sz w:val="22"/>
          <w:szCs w:val="22"/>
        </w:rPr>
      </w:pPr>
      <w:r w:rsidRPr="0038192D">
        <w:rPr>
          <w:rFonts w:ascii="Calibri" w:hAnsi="Calibri"/>
          <w:sz w:val="22"/>
          <w:szCs w:val="22"/>
        </w:rPr>
        <w:t>Green chemistry and engineering seek to maximize efficiency and minimize health and environmental hazards throughout the chemical production process. This review demonstrates how green chemistry principles and metrics can influence the entire life cycle of a chemical from design through disposal. After reviewing essential metrics and recent advances in the field within this context, we consider the case of nanotechnology. As an emerging field, nanotechnology provides an instructive framework to consider the influence and application of green chemistry. Interdisciplinary innovation guides both fields, and both seek to transform the nature of technology. The applications and implications of emerging green technology are discussed, and future opportunities for interdisciplinary collaborations are highlighted.</w:t>
      </w:r>
    </w:p>
    <w:p w14:paraId="7B47819F" w14:textId="77777777" w:rsidR="00BA1CCA" w:rsidRPr="0038192D" w:rsidRDefault="00BA1CCA" w:rsidP="00BA1CCA">
      <w:pPr>
        <w:pStyle w:val="p4"/>
        <w:rPr>
          <w:rFonts w:ascii="Calibri" w:hAnsi="Calibri"/>
          <w:sz w:val="22"/>
          <w:szCs w:val="22"/>
        </w:rPr>
      </w:pPr>
    </w:p>
    <w:p w14:paraId="0144BBC2" w14:textId="77777777" w:rsidR="00BA1CCA" w:rsidRPr="0038192D" w:rsidRDefault="00BA1CCA" w:rsidP="00367D20">
      <w:pPr>
        <w:pStyle w:val="p1"/>
        <w:numPr>
          <w:ilvl w:val="0"/>
          <w:numId w:val="1"/>
        </w:numPr>
        <w:rPr>
          <w:rFonts w:ascii="Calibri" w:hAnsi="Calibri"/>
          <w:sz w:val="22"/>
          <w:szCs w:val="22"/>
        </w:rPr>
      </w:pPr>
      <w:r w:rsidRPr="0038192D">
        <w:rPr>
          <w:rFonts w:ascii="Calibri" w:hAnsi="Calibri"/>
          <w:sz w:val="22"/>
          <w:szCs w:val="22"/>
        </w:rPr>
        <w:t xml:space="preserve">Cui, Z., et al. (2011). "Green chemistry in China." </w:t>
      </w:r>
      <w:r w:rsidRPr="0038192D">
        <w:rPr>
          <w:rStyle w:val="s1"/>
          <w:rFonts w:ascii="Calibri" w:hAnsi="Calibri"/>
          <w:sz w:val="22"/>
          <w:szCs w:val="22"/>
        </w:rPr>
        <w:t>Pure and Applied Chemistry</w:t>
      </w:r>
      <w:r w:rsidRPr="0038192D">
        <w:rPr>
          <w:rFonts w:ascii="Calibri" w:hAnsi="Calibri"/>
          <w:sz w:val="22"/>
          <w:szCs w:val="22"/>
        </w:rPr>
        <w:t xml:space="preserve"> </w:t>
      </w:r>
      <w:r w:rsidRPr="0038192D">
        <w:rPr>
          <w:rFonts w:ascii="Calibri" w:hAnsi="Calibri"/>
          <w:b/>
          <w:bCs/>
          <w:sz w:val="22"/>
          <w:szCs w:val="22"/>
        </w:rPr>
        <w:t>83</w:t>
      </w:r>
      <w:r w:rsidRPr="0038192D">
        <w:rPr>
          <w:rFonts w:ascii="Calibri" w:hAnsi="Calibri"/>
          <w:sz w:val="22"/>
          <w:szCs w:val="22"/>
        </w:rPr>
        <w:t>(7): 1379-1390.</w:t>
      </w:r>
    </w:p>
    <w:p w14:paraId="44E3B2DB" w14:textId="77777777" w:rsidR="00BA1CCA" w:rsidRPr="0038192D" w:rsidRDefault="00BA1CCA" w:rsidP="00367D20">
      <w:pPr>
        <w:pStyle w:val="p3"/>
        <w:ind w:left="720" w:firstLine="0"/>
        <w:rPr>
          <w:rFonts w:ascii="Calibri" w:hAnsi="Calibri"/>
          <w:sz w:val="22"/>
          <w:szCs w:val="22"/>
        </w:rPr>
      </w:pPr>
      <w:r w:rsidRPr="0038192D">
        <w:rPr>
          <w:rFonts w:ascii="Calibri" w:hAnsi="Calibri"/>
          <w:sz w:val="22"/>
          <w:szCs w:val="22"/>
        </w:rPr>
        <w:t xml:space="preserve">The principles of green chemistry provide a framework for rational design of environmentally friendly chemicals and chemical processes having reduced intrinsic hazard. In China, the academic community has made advances in key areas, developing new catalysts, solvents, polymers, plastics additives, and biomass transformations that add to the “toolbox” of alternative, more benign, and transformative technologies. Educational and outreach activities have also flourished in recent years. This perspective highlights examples of green chemistry breakthroughs in China, focusing on literature reports from 2008 to 2010. While we cannot </w:t>
      </w:r>
      <w:r w:rsidRPr="0038192D">
        <w:rPr>
          <w:rFonts w:ascii="Calibri" w:hAnsi="Calibri"/>
          <w:sz w:val="22"/>
          <w:szCs w:val="22"/>
        </w:rPr>
        <w:lastRenderedPageBreak/>
        <w:t>hope to be comprehensive, we aim to provide examples that demonstrate the scope of the current research field.</w:t>
      </w:r>
    </w:p>
    <w:p w14:paraId="6E5149EF" w14:textId="77777777" w:rsidR="00BA1CCA" w:rsidRPr="0038192D" w:rsidRDefault="00BA1CCA" w:rsidP="00BA1CCA">
      <w:pPr>
        <w:pStyle w:val="p4"/>
        <w:rPr>
          <w:rFonts w:ascii="Calibri" w:hAnsi="Calibri"/>
          <w:sz w:val="22"/>
          <w:szCs w:val="22"/>
        </w:rPr>
      </w:pPr>
    </w:p>
    <w:p w14:paraId="3F8E3AFA" w14:textId="77777777" w:rsidR="00BA1CCA" w:rsidRPr="0038192D" w:rsidRDefault="00BA1CCA" w:rsidP="00367D20">
      <w:pPr>
        <w:pStyle w:val="p1"/>
        <w:numPr>
          <w:ilvl w:val="0"/>
          <w:numId w:val="1"/>
        </w:numPr>
        <w:rPr>
          <w:rFonts w:ascii="Calibri" w:hAnsi="Calibri"/>
          <w:sz w:val="22"/>
          <w:szCs w:val="22"/>
        </w:rPr>
      </w:pPr>
      <w:r w:rsidRPr="0038192D">
        <w:rPr>
          <w:rFonts w:ascii="Calibri" w:hAnsi="Calibri"/>
          <w:sz w:val="22"/>
          <w:szCs w:val="22"/>
        </w:rPr>
        <w:t xml:space="preserve">Norvig, P., et al. (2010). "2020 visions." </w:t>
      </w:r>
      <w:r w:rsidRPr="0038192D">
        <w:rPr>
          <w:rStyle w:val="s1"/>
          <w:rFonts w:ascii="Calibri" w:hAnsi="Calibri"/>
          <w:sz w:val="22"/>
          <w:szCs w:val="22"/>
        </w:rPr>
        <w:t>Nature</w:t>
      </w:r>
      <w:r w:rsidRPr="0038192D">
        <w:rPr>
          <w:rFonts w:ascii="Calibri" w:hAnsi="Calibri"/>
          <w:sz w:val="22"/>
          <w:szCs w:val="22"/>
        </w:rPr>
        <w:t xml:space="preserve"> </w:t>
      </w:r>
      <w:r w:rsidRPr="0038192D">
        <w:rPr>
          <w:rFonts w:ascii="Calibri" w:hAnsi="Calibri"/>
          <w:b/>
          <w:bCs/>
          <w:sz w:val="22"/>
          <w:szCs w:val="22"/>
        </w:rPr>
        <w:t>463</w:t>
      </w:r>
      <w:r w:rsidRPr="0038192D">
        <w:rPr>
          <w:rFonts w:ascii="Calibri" w:hAnsi="Calibri"/>
          <w:sz w:val="22"/>
          <w:szCs w:val="22"/>
        </w:rPr>
        <w:t>(7277): 26-32.</w:t>
      </w:r>
    </w:p>
    <w:p w14:paraId="4E796B0D" w14:textId="77777777" w:rsidR="00BA1CCA" w:rsidRPr="0038192D" w:rsidRDefault="00BA1CCA" w:rsidP="00367D20">
      <w:pPr>
        <w:pStyle w:val="p2"/>
        <w:ind w:firstLine="0"/>
        <w:rPr>
          <w:rFonts w:ascii="Calibri" w:hAnsi="Calibri"/>
          <w:sz w:val="22"/>
          <w:szCs w:val="22"/>
        </w:rPr>
      </w:pPr>
    </w:p>
    <w:p w14:paraId="230CB095" w14:textId="77777777" w:rsidR="00BA1CCA" w:rsidRPr="0038192D" w:rsidRDefault="00BA1CCA" w:rsidP="00367D20">
      <w:pPr>
        <w:pStyle w:val="p1"/>
        <w:numPr>
          <w:ilvl w:val="0"/>
          <w:numId w:val="1"/>
        </w:numPr>
        <w:rPr>
          <w:rFonts w:ascii="Calibri" w:hAnsi="Calibri"/>
          <w:sz w:val="22"/>
          <w:szCs w:val="22"/>
        </w:rPr>
      </w:pPr>
      <w:r w:rsidRPr="0038192D">
        <w:rPr>
          <w:rFonts w:ascii="Calibri" w:hAnsi="Calibri"/>
          <w:sz w:val="22"/>
          <w:szCs w:val="22"/>
        </w:rPr>
        <w:t xml:space="preserve">Anastas, P. T. and N. Eghbali (2010). "Green Chemistry: Principles and Practice." </w:t>
      </w:r>
      <w:r w:rsidRPr="0038192D">
        <w:rPr>
          <w:rStyle w:val="s1"/>
          <w:rFonts w:ascii="Calibri" w:hAnsi="Calibri"/>
          <w:sz w:val="22"/>
          <w:szCs w:val="22"/>
        </w:rPr>
        <w:t>Chemical Society Reviews</w:t>
      </w:r>
      <w:r w:rsidRPr="0038192D">
        <w:rPr>
          <w:rFonts w:ascii="Calibri" w:hAnsi="Calibri"/>
          <w:sz w:val="22"/>
          <w:szCs w:val="22"/>
        </w:rPr>
        <w:t xml:space="preserve"> </w:t>
      </w:r>
      <w:r w:rsidRPr="0038192D">
        <w:rPr>
          <w:rFonts w:ascii="Calibri" w:hAnsi="Calibri"/>
          <w:b/>
          <w:bCs/>
          <w:sz w:val="22"/>
          <w:szCs w:val="22"/>
        </w:rPr>
        <w:t>39</w:t>
      </w:r>
      <w:r w:rsidRPr="0038192D">
        <w:rPr>
          <w:rFonts w:ascii="Calibri" w:hAnsi="Calibri"/>
          <w:sz w:val="22"/>
          <w:szCs w:val="22"/>
        </w:rPr>
        <w:t>(1): 301-312.</w:t>
      </w:r>
    </w:p>
    <w:p w14:paraId="38DF1C52" w14:textId="77777777" w:rsidR="00BA1CCA" w:rsidRPr="0038192D" w:rsidRDefault="00BA1CCA" w:rsidP="00367D20">
      <w:pPr>
        <w:pStyle w:val="p3"/>
        <w:ind w:left="720" w:firstLine="0"/>
        <w:rPr>
          <w:rFonts w:ascii="Calibri" w:hAnsi="Calibri"/>
          <w:sz w:val="22"/>
          <w:szCs w:val="22"/>
        </w:rPr>
      </w:pPr>
      <w:r w:rsidRPr="0038192D">
        <w:rPr>
          <w:rFonts w:ascii="Calibri" w:hAnsi="Calibri"/>
          <w:sz w:val="22"/>
          <w:szCs w:val="22"/>
        </w:rPr>
        <w:t>Green Chemistry is a relatively new emerging field that strives to work at the molecular level to achieve sustainability. The field has received widespread interest in the past decade due to its ability to harness chemical innovation to meet environmental and economic goals simultaneously. Green Chemistry has a framework of a cohesive set of Twelve Principles, which have been systematically surveyed in this critical review. This article covers the concepts of design and the scientific philosophy of Green Chemistry with a set of illustrative examples. Future trends in Green Chemistry are discussed with the challenge of using the Principles as a cohesive design system (93 references).</w:t>
      </w:r>
    </w:p>
    <w:p w14:paraId="624E479C" w14:textId="77777777" w:rsidR="00BA1CCA" w:rsidRPr="0038192D" w:rsidRDefault="00BA1CCA" w:rsidP="00BA1CCA">
      <w:pPr>
        <w:pStyle w:val="p4"/>
        <w:rPr>
          <w:rFonts w:ascii="Calibri" w:hAnsi="Calibri"/>
          <w:sz w:val="22"/>
          <w:szCs w:val="22"/>
        </w:rPr>
      </w:pPr>
    </w:p>
    <w:p w14:paraId="701E12FF" w14:textId="77777777" w:rsidR="00BA1CCA" w:rsidRPr="0038192D" w:rsidRDefault="00BA1CCA" w:rsidP="00367D20">
      <w:pPr>
        <w:pStyle w:val="p1"/>
        <w:numPr>
          <w:ilvl w:val="0"/>
          <w:numId w:val="1"/>
        </w:numPr>
        <w:rPr>
          <w:rFonts w:ascii="Calibri" w:hAnsi="Calibri"/>
          <w:sz w:val="22"/>
          <w:szCs w:val="22"/>
        </w:rPr>
      </w:pPr>
      <w:r w:rsidRPr="0038192D">
        <w:rPr>
          <w:rFonts w:ascii="Calibri" w:hAnsi="Calibri"/>
          <w:sz w:val="22"/>
          <w:szCs w:val="22"/>
        </w:rPr>
        <w:t xml:space="preserve">Anastas, P. T. (2010). Preface. </w:t>
      </w:r>
      <w:r w:rsidRPr="0038192D">
        <w:rPr>
          <w:rStyle w:val="s1"/>
          <w:rFonts w:ascii="Calibri" w:hAnsi="Calibri"/>
          <w:sz w:val="22"/>
          <w:szCs w:val="22"/>
        </w:rPr>
        <w:t>Biomass to Biofuels: Strategies for Global Industries</w:t>
      </w:r>
      <w:r w:rsidRPr="0038192D">
        <w:rPr>
          <w:rFonts w:ascii="Calibri" w:hAnsi="Calibri"/>
          <w:sz w:val="22"/>
          <w:szCs w:val="22"/>
        </w:rPr>
        <w:t>. A. Vertes, N. Qureshi, H. Yukawa and H. Blaschek, John Wiley &amp; Sons, Ltd</w:t>
      </w:r>
      <w:r w:rsidRPr="0038192D">
        <w:rPr>
          <w:rFonts w:ascii="Calibri" w:hAnsi="Calibri"/>
          <w:b/>
          <w:bCs/>
          <w:sz w:val="22"/>
          <w:szCs w:val="22"/>
        </w:rPr>
        <w:t xml:space="preserve">: </w:t>
      </w:r>
      <w:r w:rsidRPr="0038192D">
        <w:rPr>
          <w:rFonts w:ascii="Calibri" w:hAnsi="Calibri"/>
          <w:sz w:val="22"/>
          <w:szCs w:val="22"/>
        </w:rPr>
        <w:t>584.</w:t>
      </w:r>
    </w:p>
    <w:p w14:paraId="4CCBACFC" w14:textId="77777777" w:rsidR="00BA1CCA" w:rsidRPr="0038192D" w:rsidRDefault="00BA1CCA" w:rsidP="00367D20">
      <w:pPr>
        <w:pStyle w:val="p2"/>
        <w:ind w:firstLine="0"/>
        <w:rPr>
          <w:rFonts w:ascii="Calibri" w:hAnsi="Calibri"/>
          <w:sz w:val="22"/>
          <w:szCs w:val="22"/>
        </w:rPr>
      </w:pPr>
    </w:p>
    <w:p w14:paraId="3CB80C33" w14:textId="77777777" w:rsidR="00BA1CCA" w:rsidRPr="0038192D" w:rsidRDefault="00BA1CCA" w:rsidP="00367D20">
      <w:pPr>
        <w:pStyle w:val="p1"/>
        <w:numPr>
          <w:ilvl w:val="0"/>
          <w:numId w:val="1"/>
        </w:numPr>
        <w:rPr>
          <w:rFonts w:ascii="Calibri" w:hAnsi="Calibri"/>
          <w:sz w:val="22"/>
          <w:szCs w:val="22"/>
        </w:rPr>
      </w:pPr>
      <w:r w:rsidRPr="0038192D">
        <w:rPr>
          <w:rFonts w:ascii="Calibri" w:hAnsi="Calibri"/>
          <w:sz w:val="22"/>
          <w:szCs w:val="22"/>
        </w:rPr>
        <w:t xml:space="preserve">Anastas, P. T., Ed. (2009-2011). </w:t>
      </w:r>
      <w:r w:rsidRPr="0038192D">
        <w:rPr>
          <w:rStyle w:val="s1"/>
          <w:rFonts w:ascii="Calibri" w:hAnsi="Calibri"/>
          <w:sz w:val="22"/>
          <w:szCs w:val="22"/>
        </w:rPr>
        <w:t>Handbook of Green Chemistry (9 volumes)</w:t>
      </w:r>
      <w:r w:rsidRPr="0038192D">
        <w:rPr>
          <w:rFonts w:ascii="Calibri" w:hAnsi="Calibri"/>
          <w:sz w:val="22"/>
          <w:szCs w:val="22"/>
        </w:rPr>
        <w:t>.</w:t>
      </w:r>
    </w:p>
    <w:p w14:paraId="7BB8D365" w14:textId="77777777" w:rsidR="00BA1CCA" w:rsidRPr="0038192D" w:rsidRDefault="00BA1CCA" w:rsidP="00367D20">
      <w:pPr>
        <w:pStyle w:val="p2"/>
        <w:ind w:firstLine="0"/>
        <w:rPr>
          <w:rFonts w:ascii="Calibri" w:hAnsi="Calibri"/>
          <w:sz w:val="22"/>
          <w:szCs w:val="22"/>
        </w:rPr>
      </w:pPr>
    </w:p>
    <w:p w14:paraId="7C92C5D8" w14:textId="77777777" w:rsidR="00BA1CCA" w:rsidRPr="0038192D" w:rsidRDefault="00BA1CCA" w:rsidP="00367D20">
      <w:pPr>
        <w:pStyle w:val="p1"/>
        <w:numPr>
          <w:ilvl w:val="0"/>
          <w:numId w:val="1"/>
        </w:numPr>
        <w:rPr>
          <w:rFonts w:ascii="Calibri" w:hAnsi="Calibri"/>
          <w:sz w:val="22"/>
          <w:szCs w:val="22"/>
        </w:rPr>
      </w:pPr>
      <w:r w:rsidRPr="0038192D">
        <w:rPr>
          <w:rFonts w:ascii="Calibri" w:hAnsi="Calibri"/>
          <w:sz w:val="22"/>
          <w:szCs w:val="22"/>
        </w:rPr>
        <w:t xml:space="preserve">Shukla, S. S., et al. (2009). "The Need and the Quest for Developing Water Treatment Systems for Masses Which are Low Cost, Low Tech and Use Locally or Easily Available Material." </w:t>
      </w:r>
      <w:r w:rsidRPr="0038192D">
        <w:rPr>
          <w:rStyle w:val="s1"/>
          <w:rFonts w:ascii="Calibri" w:hAnsi="Calibri"/>
          <w:sz w:val="22"/>
          <w:szCs w:val="22"/>
        </w:rPr>
        <w:t>Clean Technology 2009: Bioenergy, Renewables, Storage, Grid, Waste and Sustainability</w:t>
      </w:r>
      <w:r w:rsidRPr="0038192D">
        <w:rPr>
          <w:rFonts w:ascii="Calibri" w:hAnsi="Calibri"/>
          <w:sz w:val="22"/>
          <w:szCs w:val="22"/>
        </w:rPr>
        <w:t>: 281-284.</w:t>
      </w:r>
    </w:p>
    <w:p w14:paraId="25BCEEEC" w14:textId="77777777" w:rsidR="00BA1CCA" w:rsidRPr="0038192D" w:rsidRDefault="00BA1CCA" w:rsidP="00367D20">
      <w:pPr>
        <w:pStyle w:val="p3"/>
        <w:ind w:left="720" w:firstLine="0"/>
        <w:rPr>
          <w:rFonts w:ascii="Calibri" w:hAnsi="Calibri"/>
          <w:sz w:val="22"/>
          <w:szCs w:val="22"/>
        </w:rPr>
      </w:pPr>
      <w:r w:rsidRPr="0038192D">
        <w:rPr>
          <w:rFonts w:ascii="Calibri" w:hAnsi="Calibri"/>
          <w:sz w:val="22"/>
          <w:szCs w:val="22"/>
        </w:rPr>
        <w:t>In today's world, a large set of environmental challenges exist. The extent of the environmental damage is alarming and the consequences could be dire. Existence of healthy life requires availability of safe food and clean water. Though food supply seem to have improved in last 25 years, the emerging industrialization (in almost every corner of the world) has rapidly caused serious deterioration in water quality. The water supply is limited and we cannot make more water (as we can probably do with food). The consequences of drinking polluted water may not appears NOW but the price may be very high for the future generations to pay. Many people exposed and affected by polluted water are the ones who can least afford to buy clean water. For the past 20 years, we have engaged ourselves in developing Low Cost, Low Tech Water Treatment Methods Using Locally Available Material. These methods help to destroy organics and bacteria, and remove metal ions from water for individual consumption. Our methods however, can also be adopted for large bodies of water such as rivers and lakes. We are now attempting to establish a nonprofit organization to seek funding to spread our technologies amongst the people who can least afford to buy clean water</w:t>
      </w:r>
    </w:p>
    <w:p w14:paraId="5C26AC86" w14:textId="77777777" w:rsidR="00BA1CCA" w:rsidRPr="0038192D" w:rsidRDefault="00BA1CCA" w:rsidP="00BA1CCA">
      <w:pPr>
        <w:pStyle w:val="p4"/>
        <w:rPr>
          <w:rFonts w:ascii="Calibri" w:hAnsi="Calibri"/>
          <w:sz w:val="22"/>
          <w:szCs w:val="22"/>
        </w:rPr>
      </w:pPr>
    </w:p>
    <w:p w14:paraId="52B573E2" w14:textId="77777777" w:rsidR="00BA1CCA" w:rsidRPr="0038192D" w:rsidRDefault="00BA1CCA" w:rsidP="00367D20">
      <w:pPr>
        <w:pStyle w:val="p1"/>
        <w:numPr>
          <w:ilvl w:val="0"/>
          <w:numId w:val="1"/>
        </w:numPr>
        <w:rPr>
          <w:rFonts w:ascii="Calibri" w:hAnsi="Calibri"/>
          <w:sz w:val="22"/>
          <w:szCs w:val="22"/>
        </w:rPr>
      </w:pPr>
      <w:r w:rsidRPr="0038192D">
        <w:rPr>
          <w:rFonts w:ascii="Calibri" w:hAnsi="Calibri"/>
          <w:sz w:val="22"/>
          <w:szCs w:val="22"/>
        </w:rPr>
        <w:t xml:space="preserve">Beach, E. S., et al. (2009). "Green Chemistry: A design framework for sustainability." </w:t>
      </w:r>
      <w:r w:rsidRPr="0038192D">
        <w:rPr>
          <w:rStyle w:val="s1"/>
          <w:rFonts w:ascii="Calibri" w:hAnsi="Calibri"/>
          <w:sz w:val="22"/>
          <w:szCs w:val="22"/>
        </w:rPr>
        <w:t>Energy &amp; Environmental Science</w:t>
      </w:r>
      <w:r w:rsidRPr="0038192D">
        <w:rPr>
          <w:rFonts w:ascii="Calibri" w:hAnsi="Calibri"/>
          <w:sz w:val="22"/>
          <w:szCs w:val="22"/>
        </w:rPr>
        <w:t xml:space="preserve"> </w:t>
      </w:r>
      <w:r w:rsidRPr="0038192D">
        <w:rPr>
          <w:rFonts w:ascii="Calibri" w:hAnsi="Calibri"/>
          <w:b/>
          <w:bCs/>
          <w:sz w:val="22"/>
          <w:szCs w:val="22"/>
        </w:rPr>
        <w:t>2</w:t>
      </w:r>
      <w:r w:rsidRPr="0038192D">
        <w:rPr>
          <w:rFonts w:ascii="Calibri" w:hAnsi="Calibri"/>
          <w:sz w:val="22"/>
          <w:szCs w:val="22"/>
        </w:rPr>
        <w:t>(10): 1038-1049.</w:t>
      </w:r>
    </w:p>
    <w:p w14:paraId="162B91D3" w14:textId="77777777" w:rsidR="00BA1CCA" w:rsidRPr="0038192D" w:rsidRDefault="00BA1CCA" w:rsidP="00367D20">
      <w:pPr>
        <w:pStyle w:val="p3"/>
        <w:ind w:left="720" w:firstLine="0"/>
        <w:rPr>
          <w:rFonts w:ascii="Calibri" w:hAnsi="Calibri"/>
          <w:sz w:val="22"/>
          <w:szCs w:val="22"/>
        </w:rPr>
      </w:pPr>
      <w:r w:rsidRPr="0038192D">
        <w:rPr>
          <w:rFonts w:ascii="Calibri" w:hAnsi="Calibri"/>
          <w:sz w:val="22"/>
          <w:szCs w:val="22"/>
        </w:rPr>
        <w:t>In this review we will highlight some of the science that exemplifies the principles of Green Chemistry, in particular the efficient use of materials and energy, development of renewable resources, and design for reduced hazard. Examples are drawn from a diverse range of research fields including catalysis, alternative solvents, analytical chemistry, polymer science, and toxicology. While it is impossible for us to be comprehensive, as the worldwide proliferation of Green Chemistry research, industrial application, conferences, networks, and journals has led to a wealth of innovation, the review will attempt to illustrate how progress has been made toward solving the sustainability goals of the 21st century by engaging at the molecular level.</w:t>
      </w:r>
    </w:p>
    <w:p w14:paraId="208614A2" w14:textId="77777777" w:rsidR="00BA1CCA" w:rsidRPr="0038192D" w:rsidRDefault="00BA1CCA" w:rsidP="00BA1CCA">
      <w:pPr>
        <w:pStyle w:val="p4"/>
        <w:rPr>
          <w:rFonts w:ascii="Calibri" w:hAnsi="Calibri"/>
          <w:sz w:val="22"/>
          <w:szCs w:val="22"/>
        </w:rPr>
      </w:pPr>
    </w:p>
    <w:p w14:paraId="52D2618B" w14:textId="77777777" w:rsidR="00BA1CCA" w:rsidRPr="0038192D" w:rsidRDefault="00BA1CCA" w:rsidP="00367D20">
      <w:pPr>
        <w:pStyle w:val="p1"/>
        <w:numPr>
          <w:ilvl w:val="0"/>
          <w:numId w:val="1"/>
        </w:numPr>
        <w:rPr>
          <w:rFonts w:ascii="Calibri" w:hAnsi="Calibri"/>
          <w:sz w:val="22"/>
          <w:szCs w:val="22"/>
        </w:rPr>
      </w:pPr>
      <w:r w:rsidRPr="0038192D">
        <w:rPr>
          <w:rFonts w:ascii="Calibri" w:hAnsi="Calibri"/>
          <w:sz w:val="22"/>
          <w:szCs w:val="22"/>
        </w:rPr>
        <w:t xml:space="preserve">Anastas, P. T. (2009). "The transformative innovations needed by green chemistry for sustainability." </w:t>
      </w:r>
      <w:r w:rsidRPr="0038192D">
        <w:rPr>
          <w:rStyle w:val="s1"/>
          <w:rFonts w:ascii="Calibri" w:hAnsi="Calibri"/>
          <w:sz w:val="22"/>
          <w:szCs w:val="22"/>
        </w:rPr>
        <w:t>ChemSusChem</w:t>
      </w:r>
      <w:r w:rsidRPr="0038192D">
        <w:rPr>
          <w:rFonts w:ascii="Calibri" w:hAnsi="Calibri"/>
          <w:sz w:val="22"/>
          <w:szCs w:val="22"/>
        </w:rPr>
        <w:t xml:space="preserve"> </w:t>
      </w:r>
      <w:r w:rsidRPr="0038192D">
        <w:rPr>
          <w:rFonts w:ascii="Calibri" w:hAnsi="Calibri"/>
          <w:b/>
          <w:bCs/>
          <w:sz w:val="22"/>
          <w:szCs w:val="22"/>
        </w:rPr>
        <w:t>2</w:t>
      </w:r>
      <w:r w:rsidRPr="0038192D">
        <w:rPr>
          <w:rFonts w:ascii="Calibri" w:hAnsi="Calibri"/>
          <w:sz w:val="22"/>
          <w:szCs w:val="22"/>
        </w:rPr>
        <w:t>(5): 391-392.</w:t>
      </w:r>
    </w:p>
    <w:p w14:paraId="6BF4F167" w14:textId="77777777" w:rsidR="00BA1CCA" w:rsidRPr="0038192D" w:rsidRDefault="00BA1CCA" w:rsidP="00367D20">
      <w:pPr>
        <w:pStyle w:val="p3"/>
        <w:ind w:left="720" w:firstLine="0"/>
        <w:rPr>
          <w:rFonts w:ascii="Calibri" w:hAnsi="Calibri"/>
          <w:sz w:val="22"/>
          <w:szCs w:val="22"/>
        </w:rPr>
      </w:pPr>
      <w:r w:rsidRPr="0038192D">
        <w:rPr>
          <w:rFonts w:ascii="Calibri" w:hAnsi="Calibri"/>
          <w:sz w:val="22"/>
          <w:szCs w:val="22"/>
        </w:rPr>
        <w:t>Green chemistry is discussed as a central design framework for the implementation of new scientific knowledge into everyday life. When addressed in such a manner, sustainability and economic viability are not necessarily mutually exclusive.</w:t>
      </w:r>
    </w:p>
    <w:p w14:paraId="2EDDE971" w14:textId="77777777" w:rsidR="00BA1CCA" w:rsidRPr="0038192D" w:rsidRDefault="00BA1CCA" w:rsidP="00BA1CCA">
      <w:pPr>
        <w:pStyle w:val="p4"/>
        <w:rPr>
          <w:rFonts w:ascii="Calibri" w:hAnsi="Calibri"/>
          <w:sz w:val="22"/>
          <w:szCs w:val="22"/>
        </w:rPr>
      </w:pPr>
    </w:p>
    <w:p w14:paraId="1251529E" w14:textId="77777777" w:rsidR="00BA1CCA" w:rsidRPr="0038192D" w:rsidRDefault="00BA1CCA" w:rsidP="00367D20">
      <w:pPr>
        <w:pStyle w:val="p1"/>
        <w:numPr>
          <w:ilvl w:val="0"/>
          <w:numId w:val="1"/>
        </w:numPr>
        <w:rPr>
          <w:rFonts w:ascii="Calibri" w:hAnsi="Calibri"/>
          <w:sz w:val="22"/>
          <w:szCs w:val="22"/>
        </w:rPr>
      </w:pPr>
      <w:r w:rsidRPr="0038192D">
        <w:rPr>
          <w:rFonts w:ascii="Calibri" w:hAnsi="Calibri"/>
          <w:sz w:val="22"/>
          <w:szCs w:val="22"/>
        </w:rPr>
        <w:t xml:space="preserve">Manley, J. B., et al. (2008). "Frontiers in Green Chemistry: meeting the grand challenges for sustainability in R&amp;D and manufacturing." </w:t>
      </w:r>
      <w:r w:rsidRPr="0038192D">
        <w:rPr>
          <w:rStyle w:val="s1"/>
          <w:rFonts w:ascii="Calibri" w:hAnsi="Calibri"/>
          <w:sz w:val="22"/>
          <w:szCs w:val="22"/>
        </w:rPr>
        <w:t>Journal of Cleaner Production</w:t>
      </w:r>
      <w:r w:rsidRPr="0038192D">
        <w:rPr>
          <w:rFonts w:ascii="Calibri" w:hAnsi="Calibri"/>
          <w:sz w:val="22"/>
          <w:szCs w:val="22"/>
        </w:rPr>
        <w:t xml:space="preserve"> </w:t>
      </w:r>
      <w:r w:rsidRPr="0038192D">
        <w:rPr>
          <w:rFonts w:ascii="Calibri" w:hAnsi="Calibri"/>
          <w:b/>
          <w:bCs/>
          <w:sz w:val="22"/>
          <w:szCs w:val="22"/>
        </w:rPr>
        <w:t>16</w:t>
      </w:r>
      <w:r w:rsidRPr="0038192D">
        <w:rPr>
          <w:rFonts w:ascii="Calibri" w:hAnsi="Calibri"/>
          <w:sz w:val="22"/>
          <w:szCs w:val="22"/>
        </w:rPr>
        <w:t>(6): 743-750.</w:t>
      </w:r>
    </w:p>
    <w:p w14:paraId="54DB4493" w14:textId="77777777" w:rsidR="00BA1CCA" w:rsidRPr="0038192D" w:rsidRDefault="00BA1CCA" w:rsidP="00367D20">
      <w:pPr>
        <w:pStyle w:val="p3"/>
        <w:ind w:left="720" w:firstLine="0"/>
        <w:rPr>
          <w:rFonts w:ascii="Calibri" w:hAnsi="Calibri"/>
          <w:sz w:val="22"/>
          <w:szCs w:val="22"/>
        </w:rPr>
      </w:pPr>
      <w:r w:rsidRPr="0038192D">
        <w:rPr>
          <w:rFonts w:ascii="Calibri" w:hAnsi="Calibri"/>
          <w:sz w:val="22"/>
          <w:szCs w:val="22"/>
        </w:rPr>
        <w:t>Green Chemistry is the design, development, and implementation of chemical products and processes to reduce or eliminate the use and generation of substances hazardous to human health and the environment. It is an innovative, non-regulatory, economically driven approach toward sustainability. The unequivocal value of Green Chemistry to the business and to the environment is illustrated through industrial examples. Green Chemistry must be recognized for its ability to address sustainability at the molecular level. By designing for sustainability at this fundamental level, Green Chemistry challenges innovators to design and utilize matter and energy in a way that increases performance and value while protecting human health and the environment. The principles of Green Chemistry today need to become the core for tomorrow’s chemistry, integrating sustainability into science and its innovations.</w:t>
      </w:r>
    </w:p>
    <w:p w14:paraId="7AE298AF" w14:textId="77777777" w:rsidR="00BA1CCA" w:rsidRPr="0038192D" w:rsidRDefault="00BA1CCA" w:rsidP="00BA1CCA">
      <w:pPr>
        <w:pStyle w:val="p4"/>
        <w:rPr>
          <w:rFonts w:ascii="Calibri" w:hAnsi="Calibri"/>
          <w:sz w:val="22"/>
          <w:szCs w:val="22"/>
        </w:rPr>
      </w:pPr>
    </w:p>
    <w:p w14:paraId="6208773F" w14:textId="77777777" w:rsidR="00BA1CCA" w:rsidRPr="0038192D" w:rsidRDefault="00BA1CCA" w:rsidP="00367D20">
      <w:pPr>
        <w:pStyle w:val="p1"/>
        <w:numPr>
          <w:ilvl w:val="0"/>
          <w:numId w:val="1"/>
        </w:numPr>
        <w:rPr>
          <w:rFonts w:ascii="Calibri" w:hAnsi="Calibri"/>
          <w:sz w:val="22"/>
          <w:szCs w:val="22"/>
        </w:rPr>
      </w:pPr>
      <w:r w:rsidRPr="0038192D">
        <w:rPr>
          <w:rFonts w:ascii="Calibri" w:hAnsi="Calibri"/>
          <w:sz w:val="22"/>
          <w:szCs w:val="22"/>
        </w:rPr>
        <w:t xml:space="preserve">Horvath, I. T. and P. T. Anastas (2007). "Innovations and Green Chemistry." </w:t>
      </w:r>
      <w:r w:rsidRPr="0038192D">
        <w:rPr>
          <w:rStyle w:val="s1"/>
          <w:rFonts w:ascii="Calibri" w:hAnsi="Calibri"/>
          <w:sz w:val="22"/>
          <w:szCs w:val="22"/>
        </w:rPr>
        <w:t>Chemical Reviews</w:t>
      </w:r>
      <w:r w:rsidRPr="0038192D">
        <w:rPr>
          <w:rFonts w:ascii="Calibri" w:hAnsi="Calibri"/>
          <w:sz w:val="22"/>
          <w:szCs w:val="22"/>
        </w:rPr>
        <w:t xml:space="preserve"> </w:t>
      </w:r>
      <w:r w:rsidRPr="0038192D">
        <w:rPr>
          <w:rFonts w:ascii="Calibri" w:hAnsi="Calibri"/>
          <w:b/>
          <w:bCs/>
          <w:sz w:val="22"/>
          <w:szCs w:val="22"/>
        </w:rPr>
        <w:t>107</w:t>
      </w:r>
      <w:r w:rsidRPr="0038192D">
        <w:rPr>
          <w:rFonts w:ascii="Calibri" w:hAnsi="Calibri"/>
          <w:sz w:val="22"/>
          <w:szCs w:val="22"/>
        </w:rPr>
        <w:t>(6): 2169-2173.</w:t>
      </w:r>
    </w:p>
    <w:p w14:paraId="79D38785" w14:textId="77777777" w:rsidR="00BA1CCA" w:rsidRPr="0038192D" w:rsidRDefault="00BA1CCA" w:rsidP="00BA1CCA">
      <w:pPr>
        <w:pStyle w:val="p4"/>
        <w:rPr>
          <w:rFonts w:ascii="Calibri" w:hAnsi="Calibri"/>
          <w:sz w:val="22"/>
          <w:szCs w:val="22"/>
        </w:rPr>
      </w:pPr>
    </w:p>
    <w:p w14:paraId="4302FF23" w14:textId="77777777" w:rsidR="00BA1CCA" w:rsidRPr="0038192D" w:rsidRDefault="00BA1CCA" w:rsidP="00367D20">
      <w:pPr>
        <w:pStyle w:val="p1"/>
        <w:numPr>
          <w:ilvl w:val="0"/>
          <w:numId w:val="1"/>
        </w:numPr>
        <w:rPr>
          <w:rFonts w:ascii="Calibri" w:hAnsi="Calibri"/>
          <w:sz w:val="22"/>
          <w:szCs w:val="22"/>
        </w:rPr>
      </w:pPr>
      <w:r w:rsidRPr="0038192D">
        <w:rPr>
          <w:rFonts w:ascii="Calibri" w:hAnsi="Calibri"/>
          <w:sz w:val="22"/>
          <w:szCs w:val="22"/>
        </w:rPr>
        <w:t xml:space="preserve">Anastas, P. T. and E. S. Beach (2007). "Green chemistry: the emergence of a transformative framework." </w:t>
      </w:r>
      <w:r w:rsidRPr="0038192D">
        <w:rPr>
          <w:rStyle w:val="s1"/>
          <w:rFonts w:ascii="Calibri" w:hAnsi="Calibri"/>
          <w:sz w:val="22"/>
          <w:szCs w:val="22"/>
        </w:rPr>
        <w:t>Green Chemistry Letters and Reviews</w:t>
      </w:r>
      <w:r w:rsidRPr="0038192D">
        <w:rPr>
          <w:rFonts w:ascii="Calibri" w:hAnsi="Calibri"/>
          <w:sz w:val="22"/>
          <w:szCs w:val="22"/>
        </w:rPr>
        <w:t xml:space="preserve"> </w:t>
      </w:r>
      <w:r w:rsidRPr="0038192D">
        <w:rPr>
          <w:rFonts w:ascii="Calibri" w:hAnsi="Calibri"/>
          <w:b/>
          <w:bCs/>
          <w:sz w:val="22"/>
          <w:szCs w:val="22"/>
        </w:rPr>
        <w:t>1</w:t>
      </w:r>
      <w:r w:rsidRPr="0038192D">
        <w:rPr>
          <w:rFonts w:ascii="Calibri" w:hAnsi="Calibri"/>
          <w:sz w:val="22"/>
          <w:szCs w:val="22"/>
        </w:rPr>
        <w:t>(1): 9-24.</w:t>
      </w:r>
    </w:p>
    <w:p w14:paraId="6502CB70" w14:textId="77777777" w:rsidR="00BA1CCA" w:rsidRPr="0038192D" w:rsidRDefault="00BA1CCA" w:rsidP="00367D20">
      <w:pPr>
        <w:pStyle w:val="p3"/>
        <w:ind w:left="720" w:firstLine="0"/>
        <w:rPr>
          <w:rFonts w:ascii="Calibri" w:hAnsi="Calibri"/>
          <w:sz w:val="22"/>
          <w:szCs w:val="22"/>
        </w:rPr>
      </w:pPr>
      <w:r w:rsidRPr="0038192D">
        <w:rPr>
          <w:rFonts w:ascii="Calibri" w:hAnsi="Calibri"/>
          <w:sz w:val="22"/>
          <w:szCs w:val="22"/>
        </w:rPr>
        <w:t>Since the Twelve Principles of Green Chemistry were formulated in the 1990s, there have been tremendous successes in developing new products and processes to be more compatible with human health, the environment, and sustainability goals. This review gives a sampling of research successes from the last 20years, including advances in synthetic efficiency, application of alternative synthetic methods, use of less hazardous solvents and reagents, and development of renewable resources for chemical feedstocks. The future of green chemistry will depend on innovations that consolidate and integrate these achievements that have been made, using all Twelve Principles as a framework for intentional design. Designing for sustainability and reduced hazard should not be viewed as constraining, but rather as providing the freedom to explore and invent, bridging continents and scientific disciplines to create new solutions.</w:t>
      </w:r>
    </w:p>
    <w:p w14:paraId="37436CD7" w14:textId="77777777" w:rsidR="00BA1CCA" w:rsidRPr="0038192D" w:rsidRDefault="00BA1CCA" w:rsidP="00BA1CCA">
      <w:pPr>
        <w:pStyle w:val="p4"/>
        <w:rPr>
          <w:rFonts w:ascii="Calibri" w:hAnsi="Calibri"/>
          <w:sz w:val="22"/>
          <w:szCs w:val="22"/>
        </w:rPr>
      </w:pPr>
    </w:p>
    <w:p w14:paraId="30B35630" w14:textId="77777777" w:rsidR="00BA1CCA" w:rsidRPr="0038192D" w:rsidRDefault="00BA1CCA" w:rsidP="00367D20">
      <w:pPr>
        <w:pStyle w:val="p1"/>
        <w:numPr>
          <w:ilvl w:val="0"/>
          <w:numId w:val="1"/>
        </w:numPr>
        <w:rPr>
          <w:rFonts w:ascii="Calibri" w:hAnsi="Calibri"/>
          <w:sz w:val="22"/>
          <w:szCs w:val="22"/>
        </w:rPr>
      </w:pPr>
      <w:r w:rsidRPr="0038192D">
        <w:rPr>
          <w:rFonts w:ascii="Calibri" w:hAnsi="Calibri"/>
          <w:sz w:val="22"/>
          <w:szCs w:val="22"/>
        </w:rPr>
        <w:t xml:space="preserve">Zimmerman, J. B. and P. T. Anastas (2006). When Is a Waste not a Waste? </w:t>
      </w:r>
      <w:r w:rsidRPr="0038192D">
        <w:rPr>
          <w:rStyle w:val="s1"/>
          <w:rFonts w:ascii="Calibri" w:hAnsi="Calibri"/>
          <w:sz w:val="22"/>
          <w:szCs w:val="22"/>
        </w:rPr>
        <w:t>Sustainability Science and Engineering: Defining Principles</w:t>
      </w:r>
      <w:r w:rsidRPr="0038192D">
        <w:rPr>
          <w:rFonts w:ascii="Calibri" w:hAnsi="Calibri"/>
          <w:sz w:val="22"/>
          <w:szCs w:val="22"/>
        </w:rPr>
        <w:t>. M. A. Abraham, Elsevier Science</w:t>
      </w:r>
      <w:r w:rsidRPr="0038192D">
        <w:rPr>
          <w:rFonts w:ascii="Calibri" w:hAnsi="Calibri"/>
          <w:b/>
          <w:bCs/>
          <w:sz w:val="22"/>
          <w:szCs w:val="22"/>
        </w:rPr>
        <w:t xml:space="preserve">: </w:t>
      </w:r>
      <w:r w:rsidRPr="0038192D">
        <w:rPr>
          <w:rFonts w:ascii="Calibri" w:hAnsi="Calibri"/>
          <w:sz w:val="22"/>
          <w:szCs w:val="22"/>
        </w:rPr>
        <w:t>201-221.</w:t>
      </w:r>
    </w:p>
    <w:p w14:paraId="6AFE405C" w14:textId="77777777" w:rsidR="00BA1CCA" w:rsidRPr="0038192D" w:rsidRDefault="00BA1CCA" w:rsidP="00367D20">
      <w:pPr>
        <w:pStyle w:val="p2"/>
        <w:ind w:firstLine="0"/>
        <w:rPr>
          <w:rFonts w:ascii="Calibri" w:hAnsi="Calibri"/>
          <w:sz w:val="22"/>
          <w:szCs w:val="22"/>
        </w:rPr>
      </w:pPr>
    </w:p>
    <w:p w14:paraId="36F7E9DB" w14:textId="77777777" w:rsidR="00BA1CCA" w:rsidRPr="0038192D" w:rsidRDefault="00BA1CCA" w:rsidP="00367D20">
      <w:pPr>
        <w:pStyle w:val="p1"/>
        <w:numPr>
          <w:ilvl w:val="0"/>
          <w:numId w:val="1"/>
        </w:numPr>
        <w:rPr>
          <w:rFonts w:ascii="Calibri" w:hAnsi="Calibri"/>
          <w:sz w:val="22"/>
          <w:szCs w:val="22"/>
        </w:rPr>
      </w:pPr>
      <w:r w:rsidRPr="0038192D">
        <w:rPr>
          <w:rFonts w:ascii="Calibri" w:hAnsi="Calibri"/>
          <w:sz w:val="22"/>
          <w:szCs w:val="22"/>
        </w:rPr>
        <w:t xml:space="preserve">Anastas, P. T. and J. B. Zimmerman (2006). The Twelve Principles of Green Engineering as a Foundation for Sustainability. </w:t>
      </w:r>
      <w:r w:rsidRPr="0038192D">
        <w:rPr>
          <w:rStyle w:val="s1"/>
          <w:rFonts w:ascii="Calibri" w:hAnsi="Calibri"/>
          <w:sz w:val="22"/>
          <w:szCs w:val="22"/>
        </w:rPr>
        <w:t>Sustainability Science and Engineering: Defining Principles</w:t>
      </w:r>
      <w:r w:rsidRPr="0038192D">
        <w:rPr>
          <w:rFonts w:ascii="Calibri" w:hAnsi="Calibri"/>
          <w:sz w:val="22"/>
          <w:szCs w:val="22"/>
        </w:rPr>
        <w:t>. M. A. Abraham, Elsevier Science</w:t>
      </w:r>
      <w:r w:rsidRPr="0038192D">
        <w:rPr>
          <w:rFonts w:ascii="Calibri" w:hAnsi="Calibri"/>
          <w:b/>
          <w:bCs/>
          <w:sz w:val="22"/>
          <w:szCs w:val="22"/>
        </w:rPr>
        <w:t xml:space="preserve">: </w:t>
      </w:r>
      <w:r w:rsidRPr="0038192D">
        <w:rPr>
          <w:rFonts w:ascii="Calibri" w:hAnsi="Calibri"/>
          <w:sz w:val="22"/>
          <w:szCs w:val="22"/>
        </w:rPr>
        <w:t>11-32.</w:t>
      </w:r>
    </w:p>
    <w:p w14:paraId="5FD347B4" w14:textId="77777777" w:rsidR="00BA1CCA" w:rsidRPr="0038192D" w:rsidRDefault="00BA1CCA" w:rsidP="00367D20">
      <w:pPr>
        <w:pStyle w:val="p2"/>
        <w:ind w:firstLine="0"/>
        <w:rPr>
          <w:rFonts w:ascii="Calibri" w:hAnsi="Calibri"/>
          <w:sz w:val="22"/>
          <w:szCs w:val="22"/>
        </w:rPr>
      </w:pPr>
    </w:p>
    <w:p w14:paraId="4772B9BA" w14:textId="77777777" w:rsidR="00BA1CCA" w:rsidRPr="0038192D" w:rsidRDefault="00BA1CCA" w:rsidP="00367D20">
      <w:pPr>
        <w:pStyle w:val="p1"/>
        <w:numPr>
          <w:ilvl w:val="0"/>
          <w:numId w:val="1"/>
        </w:numPr>
        <w:rPr>
          <w:rFonts w:ascii="Calibri" w:hAnsi="Calibri"/>
          <w:sz w:val="22"/>
          <w:szCs w:val="22"/>
        </w:rPr>
      </w:pPr>
      <w:r w:rsidRPr="0038192D">
        <w:rPr>
          <w:rFonts w:ascii="Calibri" w:hAnsi="Calibri"/>
          <w:sz w:val="22"/>
          <w:szCs w:val="22"/>
        </w:rPr>
        <w:t xml:space="preserve">Anastas, P. T. (2004). "Green chemistry: Definition and principles." </w:t>
      </w:r>
      <w:r w:rsidRPr="0038192D">
        <w:rPr>
          <w:rStyle w:val="s1"/>
          <w:rFonts w:ascii="Calibri" w:hAnsi="Calibri"/>
          <w:sz w:val="22"/>
          <w:szCs w:val="22"/>
        </w:rPr>
        <w:t>Abstracts of Papers of the American Chemical Society</w:t>
      </w:r>
      <w:r w:rsidRPr="0038192D">
        <w:rPr>
          <w:rFonts w:ascii="Calibri" w:hAnsi="Calibri"/>
          <w:sz w:val="22"/>
          <w:szCs w:val="22"/>
        </w:rPr>
        <w:t xml:space="preserve"> </w:t>
      </w:r>
      <w:r w:rsidRPr="0038192D">
        <w:rPr>
          <w:rFonts w:ascii="Calibri" w:hAnsi="Calibri"/>
          <w:b/>
          <w:bCs/>
          <w:sz w:val="22"/>
          <w:szCs w:val="22"/>
        </w:rPr>
        <w:t>228</w:t>
      </w:r>
      <w:r w:rsidRPr="0038192D">
        <w:rPr>
          <w:rFonts w:ascii="Calibri" w:hAnsi="Calibri"/>
          <w:sz w:val="22"/>
          <w:szCs w:val="22"/>
        </w:rPr>
        <w:t>: U760-U760.</w:t>
      </w:r>
    </w:p>
    <w:p w14:paraId="174BFFA5" w14:textId="77777777" w:rsidR="00BA1CCA" w:rsidRPr="0038192D" w:rsidRDefault="00BA1CCA" w:rsidP="00367D20">
      <w:pPr>
        <w:pStyle w:val="p2"/>
        <w:ind w:firstLine="0"/>
        <w:rPr>
          <w:rFonts w:ascii="Calibri" w:hAnsi="Calibri"/>
          <w:sz w:val="22"/>
          <w:szCs w:val="22"/>
        </w:rPr>
      </w:pPr>
    </w:p>
    <w:p w14:paraId="599B2612" w14:textId="77777777" w:rsidR="00BA1CCA" w:rsidRPr="0038192D" w:rsidRDefault="00BA1CCA" w:rsidP="00367D20">
      <w:pPr>
        <w:pStyle w:val="p1"/>
        <w:numPr>
          <w:ilvl w:val="0"/>
          <w:numId w:val="1"/>
        </w:numPr>
        <w:rPr>
          <w:rFonts w:ascii="Calibri" w:hAnsi="Calibri"/>
          <w:sz w:val="22"/>
          <w:szCs w:val="22"/>
        </w:rPr>
      </w:pPr>
      <w:r w:rsidRPr="0038192D">
        <w:rPr>
          <w:rFonts w:ascii="Calibri" w:hAnsi="Calibri"/>
          <w:sz w:val="22"/>
          <w:szCs w:val="22"/>
        </w:rPr>
        <w:t xml:space="preserve">Anastas, P. T. and M. M. Kirchhoff (2003). "Green chemistry: From command and control to pollution prevention." </w:t>
      </w:r>
      <w:r w:rsidRPr="0038192D">
        <w:rPr>
          <w:rStyle w:val="s1"/>
          <w:rFonts w:ascii="Calibri" w:hAnsi="Calibri"/>
          <w:sz w:val="22"/>
          <w:szCs w:val="22"/>
        </w:rPr>
        <w:t>Abstracts of Papers of the American Chemical Society</w:t>
      </w:r>
      <w:r w:rsidRPr="0038192D">
        <w:rPr>
          <w:rFonts w:ascii="Calibri" w:hAnsi="Calibri"/>
          <w:sz w:val="22"/>
          <w:szCs w:val="22"/>
        </w:rPr>
        <w:t xml:space="preserve"> </w:t>
      </w:r>
      <w:r w:rsidRPr="0038192D">
        <w:rPr>
          <w:rFonts w:ascii="Calibri" w:hAnsi="Calibri"/>
          <w:b/>
          <w:bCs/>
          <w:sz w:val="22"/>
          <w:szCs w:val="22"/>
        </w:rPr>
        <w:t>225</w:t>
      </w:r>
      <w:r w:rsidRPr="0038192D">
        <w:rPr>
          <w:rFonts w:ascii="Calibri" w:hAnsi="Calibri"/>
          <w:sz w:val="22"/>
          <w:szCs w:val="22"/>
        </w:rPr>
        <w:t>: U946-U946.</w:t>
      </w:r>
    </w:p>
    <w:p w14:paraId="3010652B" w14:textId="77777777" w:rsidR="00BA1CCA" w:rsidRPr="0038192D" w:rsidRDefault="00BA1CCA" w:rsidP="00367D20">
      <w:pPr>
        <w:pStyle w:val="p2"/>
        <w:ind w:firstLine="0"/>
        <w:rPr>
          <w:rFonts w:ascii="Calibri" w:hAnsi="Calibri"/>
          <w:sz w:val="22"/>
          <w:szCs w:val="22"/>
        </w:rPr>
      </w:pPr>
    </w:p>
    <w:p w14:paraId="0005FA4B" w14:textId="77777777" w:rsidR="00BA1CCA" w:rsidRPr="0038192D" w:rsidRDefault="00BA1CCA" w:rsidP="00367D20">
      <w:pPr>
        <w:pStyle w:val="p1"/>
        <w:numPr>
          <w:ilvl w:val="0"/>
          <w:numId w:val="1"/>
        </w:numPr>
        <w:rPr>
          <w:rFonts w:ascii="Calibri" w:hAnsi="Calibri"/>
          <w:sz w:val="22"/>
          <w:szCs w:val="22"/>
        </w:rPr>
      </w:pPr>
      <w:r w:rsidRPr="0038192D">
        <w:rPr>
          <w:rFonts w:ascii="Calibri" w:hAnsi="Calibri"/>
          <w:sz w:val="22"/>
          <w:szCs w:val="22"/>
        </w:rPr>
        <w:t xml:space="preserve">Anastas, P. T. and J. C. Warner (1998). </w:t>
      </w:r>
      <w:r w:rsidRPr="0038192D">
        <w:rPr>
          <w:rStyle w:val="s1"/>
          <w:rFonts w:ascii="Calibri" w:hAnsi="Calibri"/>
          <w:sz w:val="22"/>
          <w:szCs w:val="22"/>
        </w:rPr>
        <w:t>Green Chemistry: Theory and Practice</w:t>
      </w:r>
      <w:r w:rsidRPr="0038192D">
        <w:rPr>
          <w:rFonts w:ascii="Calibri" w:hAnsi="Calibri"/>
          <w:sz w:val="22"/>
          <w:szCs w:val="22"/>
        </w:rPr>
        <w:t>, Oxford University Press.</w:t>
      </w:r>
    </w:p>
    <w:p w14:paraId="005FB04B" w14:textId="77777777" w:rsidR="00BA1CCA" w:rsidRPr="0038192D" w:rsidRDefault="00BA1CCA" w:rsidP="00BA1CCA">
      <w:pPr>
        <w:pStyle w:val="p2"/>
        <w:rPr>
          <w:rFonts w:ascii="Calibri" w:hAnsi="Calibri"/>
          <w:sz w:val="22"/>
          <w:szCs w:val="22"/>
        </w:rPr>
      </w:pPr>
      <w:r w:rsidRPr="0038192D">
        <w:rPr>
          <w:rStyle w:val="apple-tab-span"/>
          <w:rFonts w:ascii="Calibri" w:hAnsi="Calibri"/>
          <w:sz w:val="22"/>
          <w:szCs w:val="22"/>
        </w:rPr>
        <w:tab/>
      </w:r>
    </w:p>
    <w:p w14:paraId="71FAE4B1" w14:textId="77777777" w:rsidR="00297849" w:rsidRDefault="00297849">
      <w:bookmarkStart w:id="0" w:name="_GoBack"/>
      <w:bookmarkEnd w:id="0"/>
    </w:p>
    <w:sectPr w:rsidR="00297849" w:rsidSect="0016364D">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6656F" w14:textId="77777777" w:rsidR="008554A4" w:rsidRDefault="008554A4" w:rsidP="0038192D">
      <w:r>
        <w:separator/>
      </w:r>
    </w:p>
  </w:endnote>
  <w:endnote w:type="continuationSeparator" w:id="0">
    <w:p w14:paraId="0CB52A3F" w14:textId="77777777" w:rsidR="008554A4" w:rsidRDefault="008554A4" w:rsidP="00381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F9E80" w14:textId="77777777" w:rsidR="0038192D" w:rsidRDefault="0038192D" w:rsidP="00621C8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5C65F1" w14:textId="77777777" w:rsidR="0038192D" w:rsidRDefault="0038192D" w:rsidP="0038192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C4AC9" w14:textId="77777777" w:rsidR="0038192D" w:rsidRDefault="0038192D" w:rsidP="00621C8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54A4">
      <w:rPr>
        <w:rStyle w:val="PageNumber"/>
        <w:noProof/>
      </w:rPr>
      <w:t>1</w:t>
    </w:r>
    <w:r>
      <w:rPr>
        <w:rStyle w:val="PageNumber"/>
      </w:rPr>
      <w:fldChar w:fldCharType="end"/>
    </w:r>
  </w:p>
  <w:p w14:paraId="58EEFDD2" w14:textId="77777777" w:rsidR="0038192D" w:rsidRDefault="0038192D" w:rsidP="0038192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C630A" w14:textId="77777777" w:rsidR="008554A4" w:rsidRDefault="008554A4" w:rsidP="0038192D">
      <w:r>
        <w:separator/>
      </w:r>
    </w:p>
  </w:footnote>
  <w:footnote w:type="continuationSeparator" w:id="0">
    <w:p w14:paraId="0F4FBB27" w14:textId="77777777" w:rsidR="008554A4" w:rsidRDefault="008554A4" w:rsidP="0038192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682A97"/>
    <w:multiLevelType w:val="hybridMultilevel"/>
    <w:tmpl w:val="4D669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F4"/>
    <w:rsid w:val="000150A3"/>
    <w:rsid w:val="0004179A"/>
    <w:rsid w:val="00132138"/>
    <w:rsid w:val="00133998"/>
    <w:rsid w:val="0016364D"/>
    <w:rsid w:val="00194DA3"/>
    <w:rsid w:val="001A24CF"/>
    <w:rsid w:val="001D097F"/>
    <w:rsid w:val="001E151F"/>
    <w:rsid w:val="00297849"/>
    <w:rsid w:val="003661CE"/>
    <w:rsid w:val="00367D20"/>
    <w:rsid w:val="0038192D"/>
    <w:rsid w:val="00413130"/>
    <w:rsid w:val="00421E76"/>
    <w:rsid w:val="00453B8C"/>
    <w:rsid w:val="004809C9"/>
    <w:rsid w:val="00496ACA"/>
    <w:rsid w:val="004C77F0"/>
    <w:rsid w:val="004D6AA2"/>
    <w:rsid w:val="004E327E"/>
    <w:rsid w:val="004F4423"/>
    <w:rsid w:val="00506DDC"/>
    <w:rsid w:val="00515A79"/>
    <w:rsid w:val="00525718"/>
    <w:rsid w:val="005753EB"/>
    <w:rsid w:val="006134E5"/>
    <w:rsid w:val="00620816"/>
    <w:rsid w:val="00644045"/>
    <w:rsid w:val="00672001"/>
    <w:rsid w:val="00680E53"/>
    <w:rsid w:val="006C6334"/>
    <w:rsid w:val="007126EA"/>
    <w:rsid w:val="00783F86"/>
    <w:rsid w:val="00794444"/>
    <w:rsid w:val="00802AD1"/>
    <w:rsid w:val="008409B1"/>
    <w:rsid w:val="008554A4"/>
    <w:rsid w:val="008C001C"/>
    <w:rsid w:val="009A4C3E"/>
    <w:rsid w:val="009E2F4D"/>
    <w:rsid w:val="00A12D26"/>
    <w:rsid w:val="00BA1CCA"/>
    <w:rsid w:val="00BB7838"/>
    <w:rsid w:val="00BF69BD"/>
    <w:rsid w:val="00BF741F"/>
    <w:rsid w:val="00C40BE0"/>
    <w:rsid w:val="00C97EAC"/>
    <w:rsid w:val="00CE7C7B"/>
    <w:rsid w:val="00E16F17"/>
    <w:rsid w:val="00E46926"/>
    <w:rsid w:val="00E50C8F"/>
    <w:rsid w:val="00ED436E"/>
    <w:rsid w:val="00F3182F"/>
    <w:rsid w:val="00F42CF4"/>
    <w:rsid w:val="00FB11DB"/>
    <w:rsid w:val="00FD09D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703795A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150A3"/>
    <w:rPr>
      <w:rFonts w:ascii="Helvetica" w:hAnsi="Helvetica" w:cs="Times New Roman"/>
      <w:sz w:val="18"/>
      <w:szCs w:val="18"/>
    </w:rPr>
  </w:style>
  <w:style w:type="character" w:customStyle="1" w:styleId="apple-tab-span">
    <w:name w:val="apple-tab-span"/>
    <w:basedOn w:val="DefaultParagraphFont"/>
    <w:rsid w:val="000150A3"/>
  </w:style>
  <w:style w:type="paragraph" w:customStyle="1" w:styleId="p2">
    <w:name w:val="p2"/>
    <w:basedOn w:val="Normal"/>
    <w:rsid w:val="00BA1CCA"/>
    <w:pPr>
      <w:ind w:left="540" w:hanging="540"/>
    </w:pPr>
    <w:rPr>
      <w:rFonts w:ascii="Helvetica" w:hAnsi="Helvetica" w:cs="Times New Roman"/>
      <w:sz w:val="18"/>
      <w:szCs w:val="18"/>
    </w:rPr>
  </w:style>
  <w:style w:type="paragraph" w:customStyle="1" w:styleId="p3">
    <w:name w:val="p3"/>
    <w:basedOn w:val="Normal"/>
    <w:rsid w:val="00BA1CCA"/>
    <w:pPr>
      <w:ind w:left="540" w:hanging="540"/>
    </w:pPr>
    <w:rPr>
      <w:rFonts w:ascii="Helvetica" w:hAnsi="Helvetica" w:cs="Times New Roman"/>
      <w:sz w:val="18"/>
      <w:szCs w:val="18"/>
    </w:rPr>
  </w:style>
  <w:style w:type="paragraph" w:customStyle="1" w:styleId="p4">
    <w:name w:val="p4"/>
    <w:basedOn w:val="Normal"/>
    <w:rsid w:val="00BA1CCA"/>
    <w:rPr>
      <w:rFonts w:ascii="Helvetica" w:hAnsi="Helvetica" w:cs="Times New Roman"/>
      <w:sz w:val="18"/>
      <w:szCs w:val="18"/>
    </w:rPr>
  </w:style>
  <w:style w:type="character" w:customStyle="1" w:styleId="s1">
    <w:name w:val="s1"/>
    <w:basedOn w:val="DefaultParagraphFont"/>
    <w:rsid w:val="00BA1CCA"/>
    <w:rPr>
      <w:u w:val="single"/>
    </w:rPr>
  </w:style>
  <w:style w:type="paragraph" w:styleId="Footer">
    <w:name w:val="footer"/>
    <w:basedOn w:val="Normal"/>
    <w:link w:val="FooterChar"/>
    <w:uiPriority w:val="99"/>
    <w:unhideWhenUsed/>
    <w:rsid w:val="0038192D"/>
    <w:pPr>
      <w:tabs>
        <w:tab w:val="center" w:pos="4680"/>
        <w:tab w:val="right" w:pos="9360"/>
      </w:tabs>
    </w:pPr>
  </w:style>
  <w:style w:type="character" w:customStyle="1" w:styleId="FooterChar">
    <w:name w:val="Footer Char"/>
    <w:basedOn w:val="DefaultParagraphFont"/>
    <w:link w:val="Footer"/>
    <w:uiPriority w:val="99"/>
    <w:rsid w:val="0038192D"/>
  </w:style>
  <w:style w:type="character" w:styleId="PageNumber">
    <w:name w:val="page number"/>
    <w:basedOn w:val="DefaultParagraphFont"/>
    <w:uiPriority w:val="99"/>
    <w:semiHidden/>
    <w:unhideWhenUsed/>
    <w:rsid w:val="00381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137811">
      <w:bodyDiv w:val="1"/>
      <w:marLeft w:val="0"/>
      <w:marRight w:val="0"/>
      <w:marTop w:val="0"/>
      <w:marBottom w:val="0"/>
      <w:divBdr>
        <w:top w:val="none" w:sz="0" w:space="0" w:color="auto"/>
        <w:left w:val="none" w:sz="0" w:space="0" w:color="auto"/>
        <w:bottom w:val="none" w:sz="0" w:space="0" w:color="auto"/>
        <w:right w:val="none" w:sz="0" w:space="0" w:color="auto"/>
      </w:divBdr>
    </w:div>
    <w:div w:id="1273170191">
      <w:bodyDiv w:val="1"/>
      <w:marLeft w:val="0"/>
      <w:marRight w:val="0"/>
      <w:marTop w:val="0"/>
      <w:marBottom w:val="0"/>
      <w:divBdr>
        <w:top w:val="none" w:sz="0" w:space="0" w:color="auto"/>
        <w:left w:val="none" w:sz="0" w:space="0" w:color="auto"/>
        <w:bottom w:val="none" w:sz="0" w:space="0" w:color="auto"/>
        <w:right w:val="none" w:sz="0" w:space="0" w:color="auto"/>
      </w:divBdr>
    </w:div>
    <w:div w:id="15630593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1477</Words>
  <Characters>8419</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Mellor, Karolina</dc:creator>
  <cp:keywords/>
  <dc:description/>
  <cp:lastModifiedBy>Mellor, Karolina</cp:lastModifiedBy>
  <cp:revision>2</cp:revision>
  <dcterms:created xsi:type="dcterms:W3CDTF">2017-07-12T15:43:00Z</dcterms:created>
  <dcterms:modified xsi:type="dcterms:W3CDTF">2017-07-12T18:22:00Z</dcterms:modified>
</cp:coreProperties>
</file>