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39A4" w14:textId="4A4D29A5" w:rsidR="00D8286C" w:rsidRPr="006E40B9" w:rsidRDefault="00C25A17" w:rsidP="00D828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Solvents E</w:t>
      </w:r>
      <w:bookmarkStart w:id="0" w:name="_GoBack"/>
      <w:bookmarkEnd w:id="0"/>
      <w:r w:rsidR="00E8602C" w:rsidRPr="006E40B9">
        <w:rPr>
          <w:b/>
          <w:sz w:val="24"/>
          <w:szCs w:val="24"/>
        </w:rPr>
        <w:t xml:space="preserve">xercise </w:t>
      </w:r>
    </w:p>
    <w:p w14:paraId="090921F3" w14:textId="77777777" w:rsidR="00E8602C" w:rsidRPr="006E40B9" w:rsidRDefault="00E8602C" w:rsidP="00D8286C">
      <w:pPr>
        <w:spacing w:after="0"/>
        <w:rPr>
          <w:sz w:val="24"/>
          <w:szCs w:val="24"/>
        </w:rPr>
      </w:pPr>
    </w:p>
    <w:p w14:paraId="626617B3" w14:textId="04B4F1CA" w:rsidR="00AE7E71" w:rsidRPr="006E40B9" w:rsidRDefault="00AE7E71" w:rsidP="00D8286C">
      <w:p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t xml:space="preserve">One of the primary goals of the solvents </w:t>
      </w:r>
      <w:r w:rsidR="00E8602C" w:rsidRPr="006E40B9">
        <w:rPr>
          <w:sz w:val="24"/>
          <w:szCs w:val="24"/>
        </w:rPr>
        <w:t xml:space="preserve">lecture is to give the participants </w:t>
      </w:r>
      <w:r w:rsidRPr="006E40B9">
        <w:rPr>
          <w:sz w:val="24"/>
          <w:szCs w:val="24"/>
        </w:rPr>
        <w:t>an understanding of how the physicochemical and hazard</w:t>
      </w:r>
      <w:r w:rsidR="006E40B9">
        <w:rPr>
          <w:sz w:val="24"/>
          <w:szCs w:val="24"/>
        </w:rPr>
        <w:t>ous properties of solvents e</w:t>
      </w:r>
      <w:r w:rsidRPr="006E40B9">
        <w:rPr>
          <w:sz w:val="24"/>
          <w:szCs w:val="24"/>
        </w:rPr>
        <w:t xml:space="preserve">ffect </w:t>
      </w:r>
      <w:r w:rsidR="006E40B9">
        <w:rPr>
          <w:sz w:val="24"/>
          <w:szCs w:val="24"/>
        </w:rPr>
        <w:t>safety and environmental impact.</w:t>
      </w:r>
      <w:r w:rsidRPr="006E40B9">
        <w:rPr>
          <w:sz w:val="24"/>
          <w:szCs w:val="24"/>
        </w:rPr>
        <w:t xml:space="preserve"> For example, the property of vapor pressure is directly related to emissions of </w:t>
      </w:r>
      <w:r w:rsidR="006E40B9">
        <w:rPr>
          <w:sz w:val="24"/>
          <w:szCs w:val="24"/>
        </w:rPr>
        <w:t>v</w:t>
      </w:r>
      <w:r w:rsidR="006E40B9" w:rsidRPr="006E40B9">
        <w:rPr>
          <w:sz w:val="24"/>
          <w:szCs w:val="24"/>
        </w:rPr>
        <w:t>olatile organic compounds</w:t>
      </w:r>
      <w:r w:rsidR="006E40B9">
        <w:rPr>
          <w:sz w:val="24"/>
          <w:szCs w:val="24"/>
        </w:rPr>
        <w:t xml:space="preserve"> (</w:t>
      </w:r>
      <w:r w:rsidRPr="006E40B9">
        <w:rPr>
          <w:sz w:val="24"/>
          <w:szCs w:val="24"/>
        </w:rPr>
        <w:t>VOCs</w:t>
      </w:r>
      <w:r w:rsidR="006E40B9">
        <w:rPr>
          <w:sz w:val="24"/>
          <w:szCs w:val="24"/>
        </w:rPr>
        <w:t>)</w:t>
      </w:r>
      <w:r w:rsidRPr="006E40B9">
        <w:rPr>
          <w:sz w:val="24"/>
          <w:szCs w:val="24"/>
        </w:rPr>
        <w:t xml:space="preserve"> and therefor</w:t>
      </w:r>
      <w:r w:rsidR="006E40B9">
        <w:rPr>
          <w:sz w:val="24"/>
          <w:szCs w:val="24"/>
        </w:rPr>
        <w:t>e is relevant to worker health and</w:t>
      </w:r>
      <w:r w:rsidRPr="006E40B9">
        <w:rPr>
          <w:sz w:val="24"/>
          <w:szCs w:val="24"/>
        </w:rPr>
        <w:t xml:space="preserve"> safety</w:t>
      </w:r>
      <w:r w:rsidR="006E40B9">
        <w:rPr>
          <w:sz w:val="24"/>
          <w:szCs w:val="24"/>
        </w:rPr>
        <w:t>,</w:t>
      </w:r>
      <w:r w:rsidRPr="006E40B9">
        <w:rPr>
          <w:sz w:val="24"/>
          <w:szCs w:val="24"/>
        </w:rPr>
        <w:t xml:space="preserve"> and </w:t>
      </w:r>
      <w:r w:rsidR="006E40B9">
        <w:rPr>
          <w:sz w:val="24"/>
          <w:szCs w:val="24"/>
        </w:rPr>
        <w:t xml:space="preserve">to </w:t>
      </w:r>
      <w:r w:rsidRPr="006E40B9">
        <w:rPr>
          <w:sz w:val="24"/>
          <w:szCs w:val="24"/>
        </w:rPr>
        <w:t xml:space="preserve">clean air in communities. </w:t>
      </w:r>
      <w:r w:rsidR="006E40B9">
        <w:rPr>
          <w:sz w:val="24"/>
          <w:szCs w:val="24"/>
        </w:rPr>
        <w:t xml:space="preserve">This </w:t>
      </w:r>
      <w:r w:rsidRPr="006E40B9">
        <w:rPr>
          <w:sz w:val="24"/>
          <w:szCs w:val="24"/>
        </w:rPr>
        <w:t xml:space="preserve">activity </w:t>
      </w:r>
      <w:r w:rsidR="006E40B9">
        <w:rPr>
          <w:sz w:val="24"/>
          <w:szCs w:val="24"/>
        </w:rPr>
        <w:t>should be used</w:t>
      </w:r>
      <w:r w:rsidR="00A805E1" w:rsidRPr="006E40B9">
        <w:rPr>
          <w:sz w:val="24"/>
          <w:szCs w:val="24"/>
        </w:rPr>
        <w:t xml:space="preserve"> </w:t>
      </w:r>
      <w:r w:rsidRPr="006E40B9">
        <w:rPr>
          <w:sz w:val="24"/>
          <w:szCs w:val="24"/>
        </w:rPr>
        <w:t>after various s</w:t>
      </w:r>
      <w:r w:rsidR="006E40B9">
        <w:rPr>
          <w:sz w:val="24"/>
          <w:szCs w:val="24"/>
        </w:rPr>
        <w:t>olvent properties are explained in order</w:t>
      </w:r>
      <w:r w:rsidRPr="006E40B9">
        <w:rPr>
          <w:sz w:val="24"/>
          <w:szCs w:val="24"/>
        </w:rPr>
        <w:t xml:space="preserve"> to show how the connection between properties and effects is made in </w:t>
      </w:r>
      <w:r w:rsidR="00256AE4" w:rsidRPr="006E40B9">
        <w:rPr>
          <w:sz w:val="24"/>
          <w:szCs w:val="24"/>
        </w:rPr>
        <w:t>real-world situations.</w:t>
      </w:r>
    </w:p>
    <w:p w14:paraId="01A8270A" w14:textId="77777777" w:rsidR="00AE7E71" w:rsidRPr="006E40B9" w:rsidRDefault="00AE7E71" w:rsidP="00D8286C">
      <w:pPr>
        <w:spacing w:after="0"/>
        <w:rPr>
          <w:sz w:val="24"/>
          <w:szCs w:val="24"/>
        </w:rPr>
      </w:pPr>
    </w:p>
    <w:p w14:paraId="2AEE6B86" w14:textId="06B14081" w:rsidR="00D8286C" w:rsidRPr="006E40B9" w:rsidRDefault="00D8286C" w:rsidP="00D8286C">
      <w:p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t>Th</w:t>
      </w:r>
      <w:r w:rsidR="006E40B9">
        <w:rPr>
          <w:sz w:val="24"/>
          <w:szCs w:val="24"/>
        </w:rPr>
        <w:t>is</w:t>
      </w:r>
      <w:r w:rsidRPr="006E40B9">
        <w:rPr>
          <w:sz w:val="24"/>
          <w:szCs w:val="24"/>
        </w:rPr>
        <w:t xml:space="preserve"> activity uses published solvent selection guides generated by a major pharmaceutical company</w:t>
      </w:r>
      <w:r w:rsidR="006E40B9">
        <w:rPr>
          <w:sz w:val="24"/>
          <w:szCs w:val="24"/>
        </w:rPr>
        <w:t>,</w:t>
      </w:r>
      <w:r w:rsidR="00256AE4" w:rsidRPr="006E40B9">
        <w:rPr>
          <w:sz w:val="24"/>
          <w:szCs w:val="24"/>
        </w:rPr>
        <w:t xml:space="preserve"> which uses them to </w:t>
      </w:r>
      <w:r w:rsidRPr="006E40B9">
        <w:rPr>
          <w:sz w:val="24"/>
          <w:szCs w:val="24"/>
        </w:rPr>
        <w:t>evaluate solvents used in their large-scale process chemistry.</w:t>
      </w:r>
      <w:r w:rsidR="00AE7E71" w:rsidRPr="006E40B9">
        <w:rPr>
          <w:sz w:val="24"/>
          <w:szCs w:val="24"/>
        </w:rPr>
        <w:t xml:space="preserve"> The company has r</w:t>
      </w:r>
      <w:r w:rsidR="006E40B9">
        <w:rPr>
          <w:sz w:val="24"/>
          <w:szCs w:val="24"/>
        </w:rPr>
        <w:t>ated each solvent according to nine</w:t>
      </w:r>
      <w:r w:rsidR="00AE7E71" w:rsidRPr="006E40B9">
        <w:rPr>
          <w:sz w:val="24"/>
          <w:szCs w:val="24"/>
        </w:rPr>
        <w:t xml:space="preserve"> criteria on a “red-yellow-green”/traffic light scale, based on the physicochemical and hazard</w:t>
      </w:r>
      <w:r w:rsidR="006E40B9">
        <w:rPr>
          <w:sz w:val="24"/>
          <w:szCs w:val="24"/>
        </w:rPr>
        <w:t>ous</w:t>
      </w:r>
      <w:r w:rsidR="00AE7E71" w:rsidRPr="006E40B9">
        <w:rPr>
          <w:sz w:val="24"/>
          <w:szCs w:val="24"/>
        </w:rPr>
        <w:t xml:space="preserve"> properti</w:t>
      </w:r>
      <w:r w:rsidR="006E40B9">
        <w:rPr>
          <w:sz w:val="24"/>
          <w:szCs w:val="24"/>
        </w:rPr>
        <w:t>es (which are also summarized).</w:t>
      </w:r>
    </w:p>
    <w:p w14:paraId="179FB2B3" w14:textId="77777777" w:rsidR="00AE7E71" w:rsidRPr="006E40B9" w:rsidRDefault="00AE7E71" w:rsidP="00D8286C">
      <w:pPr>
        <w:spacing w:after="0"/>
        <w:rPr>
          <w:sz w:val="24"/>
          <w:szCs w:val="24"/>
        </w:rPr>
      </w:pPr>
    </w:p>
    <w:p w14:paraId="649732C9" w14:textId="4D6E76A9" w:rsidR="00AE7E71" w:rsidRPr="006E40B9" w:rsidRDefault="006E40B9" w:rsidP="00D8286C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Participants should</w:t>
      </w:r>
      <w:r w:rsidR="00AE7E71" w:rsidRPr="006E40B9">
        <w:rPr>
          <w:sz w:val="24"/>
          <w:szCs w:val="24"/>
        </w:rPr>
        <w:t xml:space="preserve"> be divided into groups of 4-5 and provided with the solvent cards for acetic acid and cyclohexene, with the names of the solvent</w:t>
      </w:r>
      <w:r w:rsidR="00A805E1" w:rsidRPr="006E40B9">
        <w:rPr>
          <w:sz w:val="24"/>
          <w:szCs w:val="24"/>
        </w:rPr>
        <w:t>s</w:t>
      </w:r>
      <w:r w:rsidR="00AE7E71" w:rsidRPr="006E40B9">
        <w:rPr>
          <w:sz w:val="24"/>
          <w:szCs w:val="24"/>
        </w:rPr>
        <w:t xml:space="preserve"> and the “red-yellow-green” ratings left bla</w:t>
      </w:r>
      <w:r>
        <w:rPr>
          <w:sz w:val="24"/>
          <w:szCs w:val="24"/>
        </w:rPr>
        <w:t xml:space="preserve">nk. </w:t>
      </w:r>
      <w:r w:rsidR="00AE7E71" w:rsidRPr="006E40B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groups should </w:t>
      </w:r>
      <w:r w:rsidR="00AE7E71" w:rsidRPr="006E40B9">
        <w:rPr>
          <w:sz w:val="24"/>
          <w:szCs w:val="24"/>
        </w:rPr>
        <w:t>be given approximately 20 minutes to discuss the chemical data provided on the cards and provide their own ratin</w:t>
      </w:r>
      <w:r>
        <w:rPr>
          <w:sz w:val="24"/>
          <w:szCs w:val="24"/>
        </w:rPr>
        <w:t>gs in each of the nine categories.</w:t>
      </w:r>
      <w:r w:rsidR="00AE7E71" w:rsidRPr="006E40B9">
        <w:rPr>
          <w:sz w:val="24"/>
          <w:szCs w:val="24"/>
        </w:rPr>
        <w:t xml:space="preserve"> </w:t>
      </w:r>
      <w:r w:rsidR="00256AE4" w:rsidRPr="006E40B9">
        <w:rPr>
          <w:sz w:val="24"/>
          <w:szCs w:val="24"/>
        </w:rPr>
        <w:t>The solvent identities are left blank to avoid biasing the evaluation (i.e., the word “acid” has negative connotations that may confuse non-chemists).</w:t>
      </w:r>
    </w:p>
    <w:p w14:paraId="17844298" w14:textId="77777777" w:rsidR="00256AE4" w:rsidRPr="006E40B9" w:rsidRDefault="00256AE4" w:rsidP="00D8286C">
      <w:pPr>
        <w:spacing w:after="0"/>
        <w:rPr>
          <w:sz w:val="24"/>
          <w:szCs w:val="24"/>
        </w:rPr>
      </w:pPr>
    </w:p>
    <w:p w14:paraId="47FB7CDD" w14:textId="7B4250C7" w:rsidR="00256AE4" w:rsidRPr="006E40B9" w:rsidRDefault="00256AE4" w:rsidP="00D8286C">
      <w:p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t xml:space="preserve">The debriefing will also </w:t>
      </w:r>
      <w:r w:rsidR="006E40B9">
        <w:rPr>
          <w:sz w:val="24"/>
          <w:szCs w:val="24"/>
        </w:rPr>
        <w:t xml:space="preserve">take approximately 20 minutes. </w:t>
      </w:r>
      <w:r w:rsidRPr="006E40B9">
        <w:rPr>
          <w:sz w:val="24"/>
          <w:szCs w:val="24"/>
        </w:rPr>
        <w:t xml:space="preserve">The groups will be asked to report which criteria received a green light and which criteria received a red light and the results will </w:t>
      </w:r>
      <w:r w:rsidR="006E40B9">
        <w:rPr>
          <w:sz w:val="24"/>
          <w:szCs w:val="24"/>
        </w:rPr>
        <w:t xml:space="preserve">then be tabulated. </w:t>
      </w:r>
      <w:r w:rsidRPr="006E40B9">
        <w:rPr>
          <w:sz w:val="24"/>
          <w:szCs w:val="24"/>
        </w:rPr>
        <w:t xml:space="preserve">Then the solvent identities and actual red-yellow-green ratings from the </w:t>
      </w:r>
      <w:r w:rsidR="00A805E1" w:rsidRPr="006E40B9">
        <w:rPr>
          <w:sz w:val="24"/>
          <w:szCs w:val="24"/>
        </w:rPr>
        <w:t xml:space="preserve">pharmaceutical industry </w:t>
      </w:r>
      <w:r w:rsidRPr="006E40B9">
        <w:rPr>
          <w:sz w:val="24"/>
          <w:szCs w:val="24"/>
        </w:rPr>
        <w:t xml:space="preserve">scientists </w:t>
      </w:r>
      <w:r w:rsidR="006E40B9">
        <w:rPr>
          <w:sz w:val="24"/>
          <w:szCs w:val="24"/>
        </w:rPr>
        <w:t xml:space="preserve">should be revealed. </w:t>
      </w:r>
      <w:r w:rsidRPr="006E40B9">
        <w:rPr>
          <w:sz w:val="24"/>
          <w:szCs w:val="24"/>
        </w:rPr>
        <w:t>This is likely to result in some “what were they think</w:t>
      </w:r>
      <w:r w:rsidR="006E40B9">
        <w:rPr>
          <w:sz w:val="24"/>
          <w:szCs w:val="24"/>
        </w:rPr>
        <w:t xml:space="preserve">ing?” comments from the participants. </w:t>
      </w:r>
      <w:r w:rsidRPr="006E40B9">
        <w:rPr>
          <w:sz w:val="24"/>
          <w:szCs w:val="24"/>
        </w:rPr>
        <w:t xml:space="preserve">This </w:t>
      </w:r>
      <w:r w:rsidR="006E40B9">
        <w:rPr>
          <w:sz w:val="24"/>
          <w:szCs w:val="24"/>
        </w:rPr>
        <w:t xml:space="preserve">should lead </w:t>
      </w:r>
      <w:r w:rsidRPr="006E40B9">
        <w:rPr>
          <w:sz w:val="24"/>
          <w:szCs w:val="24"/>
        </w:rPr>
        <w:t xml:space="preserve">to a discussion </w:t>
      </w:r>
      <w:r w:rsidR="006E40B9">
        <w:rPr>
          <w:sz w:val="24"/>
          <w:szCs w:val="24"/>
        </w:rPr>
        <w:t>which should focus on the following</w:t>
      </w:r>
      <w:r w:rsidRPr="006E40B9">
        <w:rPr>
          <w:sz w:val="24"/>
          <w:szCs w:val="24"/>
        </w:rPr>
        <w:t xml:space="preserve"> issues:</w:t>
      </w:r>
    </w:p>
    <w:p w14:paraId="15F1F43E" w14:textId="77777777" w:rsidR="00256AE4" w:rsidRPr="006E40B9" w:rsidRDefault="00256AE4" w:rsidP="00D8286C">
      <w:pPr>
        <w:spacing w:after="0"/>
        <w:rPr>
          <w:sz w:val="24"/>
          <w:szCs w:val="24"/>
        </w:rPr>
      </w:pPr>
    </w:p>
    <w:p w14:paraId="7E33ACB6" w14:textId="3F6B63EA" w:rsidR="00256AE4" w:rsidRPr="006E40B9" w:rsidRDefault="00256AE4" w:rsidP="00256A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t xml:space="preserve">How </w:t>
      </w:r>
      <w:r w:rsidR="006E40B9">
        <w:rPr>
          <w:sz w:val="24"/>
          <w:szCs w:val="24"/>
        </w:rPr>
        <w:t xml:space="preserve">much </w:t>
      </w:r>
      <w:r w:rsidRPr="006E40B9">
        <w:rPr>
          <w:sz w:val="24"/>
          <w:szCs w:val="24"/>
        </w:rPr>
        <w:t>the ratings change depending on the way the solvent is used in industry (i.e., compare a situation where a worker is cleaning the inside of a tank with a situation where solvent is part of an effluent that is being rele</w:t>
      </w:r>
      <w:r w:rsidR="001B74EC">
        <w:rPr>
          <w:sz w:val="24"/>
          <w:szCs w:val="24"/>
        </w:rPr>
        <w:t xml:space="preserve">ased into a river). </w:t>
      </w:r>
      <w:r w:rsidR="006E40B9">
        <w:rPr>
          <w:sz w:val="24"/>
          <w:szCs w:val="24"/>
        </w:rPr>
        <w:t xml:space="preserve">The answer - </w:t>
      </w:r>
      <w:r w:rsidRPr="006E40B9">
        <w:rPr>
          <w:sz w:val="24"/>
          <w:szCs w:val="24"/>
        </w:rPr>
        <w:t>a lot.</w:t>
      </w:r>
    </w:p>
    <w:p w14:paraId="024DE551" w14:textId="089F34AC" w:rsidR="00855340" w:rsidRPr="001B74EC" w:rsidRDefault="00256AE4" w:rsidP="008553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t>Is it possible that either of these solvents will ever receive all “g</w:t>
      </w:r>
      <w:r w:rsidR="006E40B9">
        <w:rPr>
          <w:sz w:val="24"/>
          <w:szCs w:val="24"/>
        </w:rPr>
        <w:t xml:space="preserve">reen lights” in every category? The answer - </w:t>
      </w:r>
      <w:r w:rsidRPr="006E40B9">
        <w:rPr>
          <w:sz w:val="24"/>
          <w:szCs w:val="24"/>
        </w:rPr>
        <w:t>almos</w:t>
      </w:r>
      <w:r w:rsidR="001B74EC">
        <w:rPr>
          <w:sz w:val="24"/>
          <w:szCs w:val="24"/>
        </w:rPr>
        <w:t xml:space="preserve">t certainly not. </w:t>
      </w:r>
      <w:r w:rsidR="006E40B9">
        <w:rPr>
          <w:sz w:val="24"/>
          <w:szCs w:val="24"/>
        </w:rPr>
        <w:t>This</w:t>
      </w:r>
      <w:r w:rsidR="001B74EC">
        <w:rPr>
          <w:sz w:val="24"/>
          <w:szCs w:val="24"/>
        </w:rPr>
        <w:t xml:space="preserve"> can function</w:t>
      </w:r>
      <w:r w:rsidR="006E40B9">
        <w:rPr>
          <w:sz w:val="24"/>
          <w:szCs w:val="24"/>
        </w:rPr>
        <w:t xml:space="preserve"> as a</w:t>
      </w:r>
      <w:r w:rsidRPr="006E40B9">
        <w:rPr>
          <w:sz w:val="24"/>
          <w:szCs w:val="24"/>
        </w:rPr>
        <w:t xml:space="preserve"> segue into</w:t>
      </w:r>
      <w:r w:rsidR="001B74EC">
        <w:rPr>
          <w:sz w:val="24"/>
          <w:szCs w:val="24"/>
        </w:rPr>
        <w:t xml:space="preserve"> a discussion of</w:t>
      </w:r>
      <w:r w:rsidRPr="006E40B9">
        <w:rPr>
          <w:sz w:val="24"/>
          <w:szCs w:val="24"/>
        </w:rPr>
        <w:t xml:space="preserve"> alternative solvents being developed by green chemists.</w:t>
      </w:r>
    </w:p>
    <w:p w14:paraId="01631278" w14:textId="08AC1160" w:rsidR="00855340" w:rsidRPr="006E40B9" w:rsidRDefault="00855340" w:rsidP="00855340">
      <w:pPr>
        <w:spacing w:after="0"/>
        <w:rPr>
          <w:sz w:val="24"/>
          <w:szCs w:val="24"/>
        </w:rPr>
      </w:pPr>
      <w:r w:rsidRPr="006E40B9">
        <w:rPr>
          <w:sz w:val="24"/>
          <w:szCs w:val="24"/>
        </w:rPr>
        <w:lastRenderedPageBreak/>
        <w:t xml:space="preserve">This activity requires </w:t>
      </w:r>
      <w:r w:rsidR="001B74EC">
        <w:rPr>
          <w:sz w:val="24"/>
          <w:szCs w:val="24"/>
        </w:rPr>
        <w:t>participant</w:t>
      </w:r>
      <w:r w:rsidRPr="006E40B9">
        <w:rPr>
          <w:sz w:val="24"/>
          <w:szCs w:val="24"/>
        </w:rPr>
        <w:t>s to convert the “dry” numbers seen in the list of solvent property data into a framework that can be used to make decisions tha</w:t>
      </w:r>
      <w:r w:rsidR="001B74EC">
        <w:rPr>
          <w:sz w:val="24"/>
          <w:szCs w:val="24"/>
        </w:rPr>
        <w:t xml:space="preserve">t are faced in the real world. </w:t>
      </w:r>
      <w:r w:rsidRPr="006E40B9">
        <w:rPr>
          <w:sz w:val="24"/>
          <w:szCs w:val="24"/>
        </w:rPr>
        <w:t>It highlights the ambiguities that can arise from th</w:t>
      </w:r>
      <w:r w:rsidR="00A805E1" w:rsidRPr="006E40B9">
        <w:rPr>
          <w:sz w:val="24"/>
          <w:szCs w:val="24"/>
        </w:rPr>
        <w:t>is kind of process</w:t>
      </w:r>
      <w:r w:rsidRPr="006E40B9">
        <w:rPr>
          <w:sz w:val="24"/>
          <w:szCs w:val="24"/>
        </w:rPr>
        <w:t xml:space="preserve"> but at the same time reinforces the connectio</w:t>
      </w:r>
      <w:r w:rsidR="001B74EC">
        <w:rPr>
          <w:sz w:val="24"/>
          <w:szCs w:val="24"/>
        </w:rPr>
        <w:t xml:space="preserve">n between chemical structure, </w:t>
      </w:r>
      <w:r w:rsidRPr="006E40B9">
        <w:rPr>
          <w:sz w:val="24"/>
          <w:szCs w:val="24"/>
        </w:rPr>
        <w:t>properties</w:t>
      </w:r>
      <w:r w:rsidR="001B74EC">
        <w:rPr>
          <w:sz w:val="24"/>
          <w:szCs w:val="24"/>
        </w:rPr>
        <w:t>,</w:t>
      </w:r>
      <w:r w:rsidRPr="006E40B9">
        <w:rPr>
          <w:sz w:val="24"/>
          <w:szCs w:val="24"/>
        </w:rPr>
        <w:t xml:space="preserve"> and </w:t>
      </w:r>
      <w:r w:rsidR="001B74EC">
        <w:rPr>
          <w:sz w:val="24"/>
          <w:szCs w:val="24"/>
        </w:rPr>
        <w:t xml:space="preserve">the larger-scale consequences. </w:t>
      </w:r>
      <w:r w:rsidRPr="006E40B9">
        <w:rPr>
          <w:sz w:val="24"/>
          <w:szCs w:val="24"/>
        </w:rPr>
        <w:t xml:space="preserve">This should provide some food for thought as the lecture transitions into “green solvents” and is related to </w:t>
      </w:r>
      <w:r w:rsidR="001B74EC">
        <w:rPr>
          <w:sz w:val="24"/>
          <w:szCs w:val="24"/>
        </w:rPr>
        <w:t xml:space="preserve">the </w:t>
      </w:r>
      <w:r w:rsidRPr="006E40B9">
        <w:rPr>
          <w:sz w:val="24"/>
          <w:szCs w:val="24"/>
        </w:rPr>
        <w:t>overall course themes related to designing safer chemicals.</w:t>
      </w:r>
    </w:p>
    <w:p w14:paraId="50C8485B" w14:textId="77777777" w:rsidR="00855340" w:rsidRPr="006E40B9" w:rsidRDefault="00855340" w:rsidP="00855340">
      <w:pPr>
        <w:spacing w:after="0"/>
        <w:rPr>
          <w:sz w:val="24"/>
          <w:szCs w:val="24"/>
        </w:rPr>
      </w:pPr>
    </w:p>
    <w:p w14:paraId="2E8CB5D4" w14:textId="084157AC" w:rsidR="00855340" w:rsidRPr="006E40B9" w:rsidRDefault="001B74EC" w:rsidP="008553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5340" w:rsidRPr="006E40B9">
        <w:rPr>
          <w:sz w:val="24"/>
          <w:szCs w:val="24"/>
        </w:rPr>
        <w:t>solvent cards and the answers are provided below</w:t>
      </w:r>
      <w:r>
        <w:rPr>
          <w:sz w:val="24"/>
          <w:szCs w:val="24"/>
        </w:rPr>
        <w:t>.</w:t>
      </w:r>
    </w:p>
    <w:p w14:paraId="67284687" w14:textId="77777777" w:rsidR="009423E2" w:rsidRPr="006E40B9" w:rsidRDefault="00D8286C" w:rsidP="00D8286C">
      <w:pPr>
        <w:spacing w:after="0"/>
        <w:rPr>
          <w:sz w:val="24"/>
          <w:szCs w:val="24"/>
        </w:rPr>
      </w:pPr>
      <w:r w:rsidRPr="006E40B9"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0F2691F2" wp14:editId="55B9AFC7">
            <wp:extent cx="5486400" cy="8113395"/>
            <wp:effectExtent l="19050" t="0" r="0" b="0"/>
            <wp:docPr id="6" name="Picture 2" descr="solvent1ques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ent1ques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0B9"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4F994E58" wp14:editId="475F52C5">
            <wp:extent cx="5486400" cy="7568565"/>
            <wp:effectExtent l="19050" t="0" r="0" b="0"/>
            <wp:docPr id="1" name="Picture 0" descr="solvent2ques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ent2quest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0B9"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2EF73060" wp14:editId="5C07A06D">
            <wp:extent cx="5486400" cy="8113395"/>
            <wp:effectExtent l="19050" t="0" r="0" b="0"/>
            <wp:docPr id="2" name="Picture 1" descr="solvent1ans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ent1answ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0B9"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2BA24F5D" wp14:editId="0CCB6D7E">
            <wp:extent cx="5486400" cy="7568565"/>
            <wp:effectExtent l="19050" t="0" r="0" b="0"/>
            <wp:docPr id="4" name="Picture 3" descr="solvent2ans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ent2answ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3E2" w:rsidRPr="006E40B9" w:rsidSect="006B3B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C1F4F"/>
    <w:multiLevelType w:val="hybridMultilevel"/>
    <w:tmpl w:val="87A4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86C"/>
    <w:rsid w:val="00094C8B"/>
    <w:rsid w:val="000B79F7"/>
    <w:rsid w:val="001B74EC"/>
    <w:rsid w:val="00256AE4"/>
    <w:rsid w:val="00451DD8"/>
    <w:rsid w:val="00520749"/>
    <w:rsid w:val="005820F7"/>
    <w:rsid w:val="006B3B50"/>
    <w:rsid w:val="006E40B9"/>
    <w:rsid w:val="0081514E"/>
    <w:rsid w:val="00855340"/>
    <w:rsid w:val="00A63082"/>
    <w:rsid w:val="00A805E1"/>
    <w:rsid w:val="00AE7E71"/>
    <w:rsid w:val="00C25A17"/>
    <w:rsid w:val="00D8286C"/>
    <w:rsid w:val="00DA0DF4"/>
    <w:rsid w:val="00E0537E"/>
    <w:rsid w:val="00E8602C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C6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3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Beach</dc:creator>
  <cp:keywords/>
  <dc:description/>
  <cp:lastModifiedBy>Mellor, Karolina</cp:lastModifiedBy>
  <cp:revision>3</cp:revision>
  <cp:lastPrinted>2017-03-27T13:15:00Z</cp:lastPrinted>
  <dcterms:created xsi:type="dcterms:W3CDTF">2018-01-31T20:15:00Z</dcterms:created>
  <dcterms:modified xsi:type="dcterms:W3CDTF">2018-05-25T18:58:00Z</dcterms:modified>
</cp:coreProperties>
</file>