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5CF472" w14:textId="77777777" w:rsidR="00E73CB7" w:rsidRPr="00B714D7" w:rsidRDefault="00E73CB7" w:rsidP="00E73CB7">
      <w:pPr>
        <w:spacing w:before="100" w:beforeAutospacing="1" w:after="100" w:afterAutospacing="1" w:line="240" w:lineRule="auto"/>
        <w:jc w:val="both"/>
        <w:outlineLvl w:val="1"/>
        <w:rPr>
          <w:rFonts w:ascii="Times New Roman" w:eastAsia="Times New Roman" w:hAnsi="Times New Roman" w:cs="Times New Roman"/>
          <w:sz w:val="24"/>
          <w:szCs w:val="24"/>
        </w:rPr>
      </w:pPr>
      <w:r w:rsidRPr="00B714D7">
        <w:rPr>
          <w:rFonts w:ascii="Times New Roman" w:eastAsia="Times New Roman" w:hAnsi="Times New Roman" w:cs="Times New Roman"/>
          <w:b/>
          <w:bCs/>
          <w:sz w:val="36"/>
          <w:szCs w:val="36"/>
        </w:rPr>
        <w:t xml:space="preserve">Module 7: Using </w:t>
      </w:r>
      <w:proofErr w:type="spellStart"/>
      <w:r w:rsidRPr="00B714D7">
        <w:rPr>
          <w:rFonts w:ascii="Times New Roman" w:eastAsia="Times New Roman" w:hAnsi="Times New Roman" w:cs="Times New Roman"/>
          <w:b/>
          <w:bCs/>
          <w:sz w:val="36"/>
          <w:szCs w:val="36"/>
        </w:rPr>
        <w:t>ProTox</w:t>
      </w:r>
      <w:proofErr w:type="spellEnd"/>
      <w:r w:rsidRPr="00B714D7">
        <w:rPr>
          <w:rFonts w:ascii="Times New Roman" w:eastAsia="Times New Roman" w:hAnsi="Times New Roman" w:cs="Times New Roman"/>
          <w:b/>
          <w:bCs/>
          <w:sz w:val="36"/>
          <w:szCs w:val="36"/>
        </w:rPr>
        <w:t xml:space="preserve"> </w:t>
      </w:r>
      <w:r w:rsidRPr="00B714D7">
        <w:rPr>
          <w:rFonts w:ascii="Times New Roman" w:eastAsia="Times New Roman" w:hAnsi="Times New Roman" w:cs="Times New Roman"/>
          <w:sz w:val="24"/>
          <w:szCs w:val="24"/>
        </w:rPr>
        <w:t> </w:t>
      </w:r>
    </w:p>
    <w:p w14:paraId="011A9727"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B17AF30" wp14:editId="7496BCFF">
            <wp:extent cx="5676000" cy="1898064"/>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rn_header_4.png"/>
                    <pic:cNvPicPr/>
                  </pic:nvPicPr>
                  <pic:blipFill>
                    <a:blip r:embed="rId7">
                      <a:extLst>
                        <a:ext uri="{28A0092B-C50C-407E-A947-70E740481C1C}">
                          <a14:useLocalDpi xmlns:a14="http://schemas.microsoft.com/office/drawing/2010/main" val="0"/>
                        </a:ext>
                      </a:extLst>
                    </a:blip>
                    <a:stretch>
                      <a:fillRect/>
                    </a:stretch>
                  </pic:blipFill>
                  <pic:spPr>
                    <a:xfrm>
                      <a:off x="0" y="0"/>
                      <a:ext cx="5691890" cy="1903378"/>
                    </a:xfrm>
                    <a:prstGeom prst="rect">
                      <a:avLst/>
                    </a:prstGeom>
                  </pic:spPr>
                </pic:pic>
              </a:graphicData>
            </a:graphic>
          </wp:inline>
        </w:drawing>
      </w:r>
    </w:p>
    <w:p w14:paraId="74256F8F"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b/>
          <w:bCs/>
          <w:sz w:val="24"/>
          <w:szCs w:val="24"/>
        </w:rPr>
        <w:t xml:space="preserve">Introduction: </w:t>
      </w:r>
      <w:r w:rsidRPr="00B714D7">
        <w:rPr>
          <w:rFonts w:ascii="Times New Roman" w:eastAsia="Times New Roman" w:hAnsi="Times New Roman" w:cs="Times New Roman"/>
          <w:sz w:val="24"/>
          <w:szCs w:val="24"/>
        </w:rPr>
        <w:t xml:space="preserve">The advent of computational and/or predictive modeling has given scientists an important tool for researching potentially harmful chemicals.  This has allowed scientists ranging from drug designers to material chemists to perform molecular pre-screening of thousands of chemicals to determine potential compatibilities to chemicals with already known structures.  In addition to finding compounds that are close fits structurally, toxicologists have used these same techniques to assess a chemical's predictive toxicity. </w:t>
      </w:r>
      <w:r w:rsidRPr="00B714D7">
        <w:rPr>
          <w:rFonts w:ascii="Times New Roman" w:eastAsia="Times New Roman" w:hAnsi="Times New Roman" w:cs="Times New Roman"/>
          <w:sz w:val="20"/>
          <w:szCs w:val="20"/>
        </w:rPr>
        <w:t>Toxicity assessments of chemicals and the endpoints used for evaluation are very important to understand and consider especially as one begins to use new tools for predicting toxicity.</w:t>
      </w:r>
    </w:p>
    <w:p w14:paraId="5B35AA39"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b/>
          <w:sz w:val="20"/>
          <w:szCs w:val="20"/>
        </w:rPr>
        <w:t>Video:</w:t>
      </w:r>
      <w:r>
        <w:rPr>
          <w:rFonts w:ascii="Times New Roman" w:eastAsia="Times New Roman" w:hAnsi="Times New Roman" w:cs="Times New Roman"/>
          <w:sz w:val="20"/>
          <w:szCs w:val="20"/>
        </w:rPr>
        <w:t xml:space="preserve"> </w:t>
      </w:r>
      <w:r w:rsidRPr="00B714D7">
        <w:rPr>
          <w:rFonts w:ascii="Times New Roman" w:eastAsia="Times New Roman" w:hAnsi="Times New Roman" w:cs="Times New Roman"/>
          <w:sz w:val="20"/>
          <w:szCs w:val="20"/>
        </w:rPr>
        <w:t>Dr. Bryan Brooks, Professor of Environmental Science and Biomedical Studies, Baylor University &amp; Dr. Terry Kavanagh, Professor of Environmental and Occupational Sciences, University of Washington</w:t>
      </w:r>
      <w:r w:rsidRPr="00B714D7">
        <w:rPr>
          <w:rFonts w:ascii="Times New Roman" w:eastAsia="Times New Roman" w:hAnsi="Times New Roman" w:cs="Times New Roman"/>
          <w:sz w:val="24"/>
          <w:szCs w:val="24"/>
        </w:rPr>
        <w:t> </w:t>
      </w:r>
    </w:p>
    <w:p w14:paraId="34D03A07"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b/>
          <w:bCs/>
          <w:sz w:val="24"/>
          <w:szCs w:val="24"/>
        </w:rPr>
        <w:t xml:space="preserve">Learning Objectives: </w:t>
      </w:r>
    </w:p>
    <w:p w14:paraId="334EF8E8" w14:textId="77777777" w:rsidR="00E73CB7" w:rsidRPr="00B714D7" w:rsidRDefault="00E73CB7" w:rsidP="00E73CB7">
      <w:pPr>
        <w:numPr>
          <w:ilvl w:val="0"/>
          <w:numId w:val="39"/>
        </w:num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Identify two new tools that provide toxicity data of a chemical from a variety of sources</w:t>
      </w:r>
    </w:p>
    <w:p w14:paraId="77AFB85D" w14:textId="77777777" w:rsidR="00E73CB7" w:rsidRPr="00B714D7" w:rsidRDefault="00E73CB7" w:rsidP="00E73CB7">
      <w:pPr>
        <w:numPr>
          <w:ilvl w:val="0"/>
          <w:numId w:val="39"/>
        </w:num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 xml:space="preserve">List three toxicity endpoints found in </w:t>
      </w:r>
      <w:proofErr w:type="spellStart"/>
      <w:r w:rsidRPr="00B714D7">
        <w:rPr>
          <w:rFonts w:ascii="Times New Roman" w:eastAsia="Times New Roman" w:hAnsi="Times New Roman" w:cs="Times New Roman"/>
          <w:sz w:val="24"/>
          <w:szCs w:val="24"/>
        </w:rPr>
        <w:t>ProTox</w:t>
      </w:r>
      <w:proofErr w:type="spellEnd"/>
      <w:r w:rsidRPr="00B714D7">
        <w:rPr>
          <w:rFonts w:ascii="Times New Roman" w:eastAsia="Times New Roman" w:hAnsi="Times New Roman" w:cs="Times New Roman"/>
          <w:sz w:val="24"/>
          <w:szCs w:val="24"/>
        </w:rPr>
        <w:t xml:space="preserve"> and </w:t>
      </w:r>
      <w:proofErr w:type="spellStart"/>
      <w:r w:rsidRPr="00B714D7">
        <w:rPr>
          <w:rFonts w:ascii="Times New Roman" w:eastAsia="Times New Roman" w:hAnsi="Times New Roman" w:cs="Times New Roman"/>
          <w:sz w:val="24"/>
          <w:szCs w:val="24"/>
        </w:rPr>
        <w:t>Chemspider</w:t>
      </w:r>
      <w:proofErr w:type="spellEnd"/>
    </w:p>
    <w:p w14:paraId="2B40D10E" w14:textId="77777777" w:rsidR="00E73CB7" w:rsidRPr="00B714D7" w:rsidRDefault="00E73CB7" w:rsidP="00E73CB7">
      <w:pPr>
        <w:numPr>
          <w:ilvl w:val="0"/>
          <w:numId w:val="39"/>
        </w:numPr>
        <w:spacing w:before="100" w:beforeAutospacing="1" w:after="100" w:afterAutospacing="1" w:line="240" w:lineRule="auto"/>
        <w:jc w:val="both"/>
        <w:rPr>
          <w:rFonts w:ascii="Times New Roman" w:eastAsia="Times New Roman" w:hAnsi="Times New Roman" w:cs="Times New Roman"/>
          <w:b/>
          <w:bCs/>
          <w:sz w:val="24"/>
          <w:szCs w:val="24"/>
        </w:rPr>
      </w:pPr>
      <w:r w:rsidRPr="00B714D7">
        <w:rPr>
          <w:rFonts w:ascii="Times New Roman" w:eastAsia="Times New Roman" w:hAnsi="Times New Roman" w:cs="Times New Roman"/>
          <w:sz w:val="24"/>
          <w:szCs w:val="24"/>
        </w:rPr>
        <w:t>Determine predictive toxicity results for a chemical</w:t>
      </w:r>
    </w:p>
    <w:p w14:paraId="70A0D6EE"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b/>
          <w:bCs/>
          <w:sz w:val="24"/>
          <w:szCs w:val="24"/>
        </w:rPr>
        <w:t xml:space="preserve">Background and Information: </w:t>
      </w:r>
    </w:p>
    <w:p w14:paraId="65626849"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hyperlink r:id="rId8" w:tgtFrame="_blank" w:history="1">
        <w:r w:rsidRPr="00B714D7">
          <w:rPr>
            <w:rFonts w:ascii="Times New Roman" w:eastAsia="Times New Roman" w:hAnsi="Times New Roman" w:cs="Times New Roman"/>
            <w:color w:val="0000FF"/>
            <w:sz w:val="24"/>
            <w:szCs w:val="24"/>
            <w:u w:val="single"/>
          </w:rPr>
          <w:t>PROTOX</w:t>
        </w:r>
      </w:hyperlink>
      <w:r w:rsidRPr="00B714D7">
        <w:rPr>
          <w:rFonts w:ascii="Times New Roman" w:eastAsia="Times New Roman" w:hAnsi="Times New Roman" w:cs="Times New Roman"/>
          <w:sz w:val="24"/>
          <w:szCs w:val="24"/>
        </w:rPr>
        <w:t xml:space="preserve"> is a web server for the predictive toxicities of small molecules in rodents.  It is designed for multiple input formats for chemicals either by generic name, structure, or chemical formula and classifies the chemical based on the programs reference </w:t>
      </w:r>
      <w:r w:rsidRPr="00B714D7">
        <w:rPr>
          <w:rFonts w:ascii="Times New Roman" w:eastAsia="Times New Roman" w:hAnsi="Times New Roman" w:cs="Times New Roman"/>
          <w:sz w:val="24"/>
          <w:szCs w:val="24"/>
        </w:rPr>
        <w:lastRenderedPageBreak/>
        <w:t>database.  This particular model is assessing the predictive "oral" toxicity in rodents and will produce multiple potential results.</w:t>
      </w:r>
    </w:p>
    <w:p w14:paraId="0B47B43B"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b/>
          <w:bCs/>
          <w:sz w:val="24"/>
          <w:szCs w:val="24"/>
        </w:rPr>
        <w:t>Chemical Input</w:t>
      </w:r>
    </w:p>
    <w:p w14:paraId="58D9EAA3"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 xml:space="preserve">As previously mentioned there are multiple ways you can enter a compound of interest.  Depending on the available information you can enter the chemical's IUPAC name, common name, chemical formula, or draw out the chemical structure using the drawing tools provided on the PROTOX site.  Using </w:t>
      </w:r>
      <w:hyperlink r:id="rId9" w:tgtFrame="_blank" w:history="1">
        <w:r w:rsidRPr="00B714D7">
          <w:rPr>
            <w:rFonts w:ascii="Times New Roman" w:eastAsia="Times New Roman" w:hAnsi="Times New Roman" w:cs="Times New Roman"/>
            <w:color w:val="0000FF"/>
            <w:sz w:val="24"/>
            <w:szCs w:val="24"/>
            <w:u w:val="single"/>
          </w:rPr>
          <w:t>PubChem</w:t>
        </w:r>
      </w:hyperlink>
      <w:r w:rsidRPr="00B714D7">
        <w:rPr>
          <w:rFonts w:ascii="Times New Roman" w:eastAsia="Times New Roman" w:hAnsi="Times New Roman" w:cs="Times New Roman"/>
          <w:sz w:val="24"/>
          <w:szCs w:val="24"/>
        </w:rPr>
        <w:t xml:space="preserve"> will generally be the quickest way to determine proper chemical names to use for input queries.</w:t>
      </w:r>
    </w:p>
    <w:p w14:paraId="3B0B59B0"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In this short example let's use the drawing tools to create the molecule phenol. </w:t>
      </w:r>
    </w:p>
    <w:p w14:paraId="3D7C930C"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1.  From the PROTOX homepage click on "TOX PREDICTION" at the top of the page.  You will see chemical input webpage come up.  There will be a molecule already in the drawing box that you can erase by clicking on the "water bottle" icon.</w:t>
      </w:r>
    </w:p>
    <w:p w14:paraId="6F221297"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0733CF3" wp14:editId="5FF5DBD1">
            <wp:extent cx="4581525" cy="5867400"/>
            <wp:effectExtent l="0" t="0" r="9525" b="0"/>
            <wp:docPr id="11" name="Picture 11" descr="https://osha.washington.edu/sites/default/files/documents/professional_development/MoDRN/protox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sha.washington.edu/sites/default/files/documents/professional_development/MoDRN/protoxpic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1525" cy="5867400"/>
                    </a:xfrm>
                    <a:prstGeom prst="rect">
                      <a:avLst/>
                    </a:prstGeom>
                    <a:noFill/>
                    <a:ln>
                      <a:noFill/>
                    </a:ln>
                  </pic:spPr>
                </pic:pic>
              </a:graphicData>
            </a:graphic>
          </wp:inline>
        </w:drawing>
      </w:r>
    </w:p>
    <w:p w14:paraId="093025E4"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 xml:space="preserve">2.  Now that you have a clean slate to work with, draw out a phenol molecule.  A quick search on PubChem lists the IUPAC name as phenol, also has the name </w:t>
      </w:r>
      <w:proofErr w:type="spellStart"/>
      <w:r w:rsidRPr="00B714D7">
        <w:rPr>
          <w:rFonts w:ascii="Times New Roman" w:eastAsia="Times New Roman" w:hAnsi="Times New Roman" w:cs="Times New Roman"/>
          <w:sz w:val="24"/>
          <w:szCs w:val="24"/>
        </w:rPr>
        <w:t>hydroxybenzene</w:t>
      </w:r>
      <w:proofErr w:type="spellEnd"/>
      <w:r w:rsidRPr="00B714D7">
        <w:rPr>
          <w:rFonts w:ascii="Times New Roman" w:eastAsia="Times New Roman" w:hAnsi="Times New Roman" w:cs="Times New Roman"/>
          <w:sz w:val="24"/>
          <w:szCs w:val="24"/>
        </w:rPr>
        <w:t>, and the chemical formula C</w:t>
      </w:r>
      <w:r w:rsidRPr="00B714D7">
        <w:rPr>
          <w:rFonts w:ascii="Times New Roman" w:eastAsia="Times New Roman" w:hAnsi="Times New Roman" w:cs="Times New Roman"/>
          <w:sz w:val="24"/>
          <w:szCs w:val="24"/>
          <w:vertAlign w:val="subscript"/>
        </w:rPr>
        <w:t>6</w:t>
      </w:r>
      <w:r w:rsidRPr="00B714D7">
        <w:rPr>
          <w:rFonts w:ascii="Times New Roman" w:eastAsia="Times New Roman" w:hAnsi="Times New Roman" w:cs="Times New Roman"/>
          <w:sz w:val="24"/>
          <w:szCs w:val="24"/>
        </w:rPr>
        <w:t>H</w:t>
      </w:r>
      <w:r w:rsidRPr="00B714D7">
        <w:rPr>
          <w:rFonts w:ascii="Times New Roman" w:eastAsia="Times New Roman" w:hAnsi="Times New Roman" w:cs="Times New Roman"/>
          <w:sz w:val="24"/>
          <w:szCs w:val="24"/>
          <w:vertAlign w:val="subscript"/>
        </w:rPr>
        <w:t>6</w:t>
      </w:r>
      <w:r w:rsidRPr="00B714D7">
        <w:rPr>
          <w:rFonts w:ascii="Times New Roman" w:eastAsia="Times New Roman" w:hAnsi="Times New Roman" w:cs="Times New Roman"/>
          <w:sz w:val="24"/>
          <w:szCs w:val="24"/>
        </w:rPr>
        <w:t>O.  Using the drawing tool bar click on the benzene ring button.</w:t>
      </w:r>
    </w:p>
    <w:p w14:paraId="172A5932"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5FEBAD7" wp14:editId="4852AE36">
            <wp:extent cx="4591050" cy="1695450"/>
            <wp:effectExtent l="0" t="0" r="0" b="0"/>
            <wp:docPr id="10" name="Picture 10" descr="https://osha.washington.edu/sites/default/files/documents/professional_development/MoDRN/protox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sha.washington.edu/sites/default/files/documents/professional_development/MoDRN/protoxpic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1050" cy="1695450"/>
                    </a:xfrm>
                    <a:prstGeom prst="rect">
                      <a:avLst/>
                    </a:prstGeom>
                    <a:noFill/>
                    <a:ln>
                      <a:noFill/>
                    </a:ln>
                  </pic:spPr>
                </pic:pic>
              </a:graphicData>
            </a:graphic>
          </wp:inline>
        </w:drawing>
      </w:r>
    </w:p>
    <w:p w14:paraId="4EACA3F0"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The following structure should now be in your drawing area.</w:t>
      </w:r>
    </w:p>
    <w:p w14:paraId="501A00AF"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6F21ADF" wp14:editId="30FD9AE7">
            <wp:extent cx="4467225" cy="3905250"/>
            <wp:effectExtent l="0" t="0" r="9525" b="0"/>
            <wp:docPr id="9" name="Picture 9" descr="https://osha.washington.edu/sites/default/files/documents/professional_development/MoDRN/protox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sha.washington.edu/sites/default/files/documents/professional_development/MoDRN/protoxpic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7225" cy="3905250"/>
                    </a:xfrm>
                    <a:prstGeom prst="rect">
                      <a:avLst/>
                    </a:prstGeom>
                    <a:noFill/>
                    <a:ln>
                      <a:noFill/>
                    </a:ln>
                  </pic:spPr>
                </pic:pic>
              </a:graphicData>
            </a:graphic>
          </wp:inline>
        </w:drawing>
      </w:r>
    </w:p>
    <w:p w14:paraId="109912E4"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 xml:space="preserve">3.  Now you will want to create a single bond off of any of the carbon atoms contained within benzene.  locate the "Single Bond" button and click once, then go to one of the carbons and click once more.  Your structure should look like the one below.  By </w:t>
      </w:r>
      <w:proofErr w:type="gramStart"/>
      <w:r w:rsidRPr="00B714D7">
        <w:rPr>
          <w:rFonts w:ascii="Times New Roman" w:eastAsia="Times New Roman" w:hAnsi="Times New Roman" w:cs="Times New Roman"/>
          <w:sz w:val="24"/>
          <w:szCs w:val="24"/>
        </w:rPr>
        <w:t>default</w:t>
      </w:r>
      <w:proofErr w:type="gramEnd"/>
      <w:r w:rsidRPr="00B714D7">
        <w:rPr>
          <w:rFonts w:ascii="Times New Roman" w:eastAsia="Times New Roman" w:hAnsi="Times New Roman" w:cs="Times New Roman"/>
          <w:sz w:val="24"/>
          <w:szCs w:val="24"/>
        </w:rPr>
        <w:t xml:space="preserve"> PROTOX will place a methyl group on the other end of that single bond.</w:t>
      </w:r>
    </w:p>
    <w:p w14:paraId="5B767C15"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C2C6B1C" wp14:editId="1F15C6D3">
            <wp:extent cx="4772025" cy="1714500"/>
            <wp:effectExtent l="0" t="0" r="9525" b="0"/>
            <wp:docPr id="8" name="Picture 8" descr="https://osha.washington.edu/sites/default/files/documents/professional_development/MoDRN/protoxp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sha.washington.edu/sites/default/files/documents/professional_development/MoDRN/protoxpic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2025" cy="1714500"/>
                    </a:xfrm>
                    <a:prstGeom prst="rect">
                      <a:avLst/>
                    </a:prstGeom>
                    <a:noFill/>
                    <a:ln>
                      <a:noFill/>
                    </a:ln>
                  </pic:spPr>
                </pic:pic>
              </a:graphicData>
            </a:graphic>
          </wp:inline>
        </w:drawing>
      </w:r>
    </w:p>
    <w:p w14:paraId="6B8327DD"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179423A" wp14:editId="43EE800A">
            <wp:extent cx="4991100" cy="4048125"/>
            <wp:effectExtent l="0" t="0" r="0" b="9525"/>
            <wp:docPr id="7" name="Picture 7" descr="https://osha.washington.edu/sites/default/files/documents/professional_development/MoDRN/protoxpi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sha.washington.edu/sites/default/files/documents/professional_development/MoDRN/protoxpic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4048125"/>
                    </a:xfrm>
                    <a:prstGeom prst="rect">
                      <a:avLst/>
                    </a:prstGeom>
                    <a:noFill/>
                    <a:ln>
                      <a:noFill/>
                    </a:ln>
                  </pic:spPr>
                </pic:pic>
              </a:graphicData>
            </a:graphic>
          </wp:inline>
        </w:drawing>
      </w:r>
    </w:p>
    <w:p w14:paraId="219D3B41"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4.  Lastly, because this chemical is phenol we need to change the methyl group (CH</w:t>
      </w:r>
      <w:r w:rsidRPr="00B714D7">
        <w:rPr>
          <w:rFonts w:ascii="Times New Roman" w:eastAsia="Times New Roman" w:hAnsi="Times New Roman" w:cs="Times New Roman"/>
          <w:sz w:val="24"/>
          <w:szCs w:val="24"/>
          <w:vertAlign w:val="subscript"/>
        </w:rPr>
        <w:t>3</w:t>
      </w:r>
      <w:r w:rsidRPr="00B714D7">
        <w:rPr>
          <w:rFonts w:ascii="Times New Roman" w:eastAsia="Times New Roman" w:hAnsi="Times New Roman" w:cs="Times New Roman"/>
          <w:sz w:val="24"/>
          <w:szCs w:val="24"/>
        </w:rPr>
        <w:t xml:space="preserve">) to an alcohol functional group (OH).  To accomplish </w:t>
      </w:r>
      <w:proofErr w:type="gramStart"/>
      <w:r w:rsidRPr="00B714D7">
        <w:rPr>
          <w:rFonts w:ascii="Times New Roman" w:eastAsia="Times New Roman" w:hAnsi="Times New Roman" w:cs="Times New Roman"/>
          <w:sz w:val="24"/>
          <w:szCs w:val="24"/>
        </w:rPr>
        <w:t>this</w:t>
      </w:r>
      <w:proofErr w:type="gramEnd"/>
      <w:r w:rsidRPr="00B714D7">
        <w:rPr>
          <w:rFonts w:ascii="Times New Roman" w:eastAsia="Times New Roman" w:hAnsi="Times New Roman" w:cs="Times New Roman"/>
          <w:sz w:val="24"/>
          <w:szCs w:val="24"/>
        </w:rPr>
        <w:t xml:space="preserve"> locate the element button on the lower part of the drawing toolbar.  Initially it will have a capital C, however if you click the dropdown button to the right of the C it will allow you to select the red "O" in place of the carbon.  You will notice that other elements can be selected from this dropdown menu.  Click once on the red "O" and then click on the methyl group that is currently bonded to your benzene.</w:t>
      </w:r>
    </w:p>
    <w:p w14:paraId="27F6EABB"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FB2D8B9" wp14:editId="7B3109EB">
            <wp:extent cx="4829175" cy="1790700"/>
            <wp:effectExtent l="0" t="0" r="9525" b="0"/>
            <wp:docPr id="6" name="Picture 6" descr="https://osha.washington.edu/sites/default/files/documents/professional_development/MoDRN/protoxpi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sha.washington.edu/sites/default/files/documents/professional_development/MoDRN/protoxpic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9175" cy="1790700"/>
                    </a:xfrm>
                    <a:prstGeom prst="rect">
                      <a:avLst/>
                    </a:prstGeom>
                    <a:noFill/>
                    <a:ln>
                      <a:noFill/>
                    </a:ln>
                  </pic:spPr>
                </pic:pic>
              </a:graphicData>
            </a:graphic>
          </wp:inline>
        </w:drawing>
      </w:r>
    </w:p>
    <w:p w14:paraId="4697D1AA"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This should replace the methyl group with an alcohol as seen in the structure below.</w:t>
      </w:r>
    </w:p>
    <w:p w14:paraId="49533668"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3567EF9" wp14:editId="4851E103">
            <wp:extent cx="4914900" cy="4305300"/>
            <wp:effectExtent l="0" t="0" r="0" b="0"/>
            <wp:docPr id="5" name="Picture 5" descr="https://osha.washington.edu/sites/default/files/documents/professional_development/MoDRN/protoxpi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sha.washington.edu/sites/default/files/documents/professional_development/MoDRN/protoxpic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4900" cy="4305300"/>
                    </a:xfrm>
                    <a:prstGeom prst="rect">
                      <a:avLst/>
                    </a:prstGeom>
                    <a:noFill/>
                    <a:ln>
                      <a:noFill/>
                    </a:ln>
                  </pic:spPr>
                </pic:pic>
              </a:graphicData>
            </a:graphic>
          </wp:inline>
        </w:drawing>
      </w:r>
    </w:p>
    <w:p w14:paraId="185B10D8"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This is also a good time to familiarize yourself with the different input options for chemicals and to continue practicing with the drawing tools.</w:t>
      </w:r>
    </w:p>
    <w:p w14:paraId="78A1F8DF" w14:textId="77777777" w:rsidR="00E73CB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 xml:space="preserve">5.  Once you have completed drawing the structure for phenol click on the "Start </w:t>
      </w:r>
      <w:proofErr w:type="spellStart"/>
      <w:r w:rsidRPr="00B714D7">
        <w:rPr>
          <w:rFonts w:ascii="Times New Roman" w:eastAsia="Times New Roman" w:hAnsi="Times New Roman" w:cs="Times New Roman"/>
          <w:sz w:val="24"/>
          <w:szCs w:val="24"/>
        </w:rPr>
        <w:t>Tox</w:t>
      </w:r>
      <w:proofErr w:type="spellEnd"/>
      <w:r w:rsidRPr="00B714D7">
        <w:rPr>
          <w:rFonts w:ascii="Times New Roman" w:eastAsia="Times New Roman" w:hAnsi="Times New Roman" w:cs="Times New Roman"/>
          <w:sz w:val="24"/>
          <w:szCs w:val="24"/>
        </w:rPr>
        <w:t>-Prediction" button.  After a short period of time PROTOX will display the results of your query.  Part I of the results will display a variety of results some listed below:</w:t>
      </w:r>
    </w:p>
    <w:p w14:paraId="78D56B02"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p>
    <w:p w14:paraId="2E77306D" w14:textId="77777777" w:rsidR="00E73CB7" w:rsidRPr="00B714D7" w:rsidRDefault="00E73CB7" w:rsidP="00E73CB7">
      <w:pPr>
        <w:numPr>
          <w:ilvl w:val="0"/>
          <w:numId w:val="40"/>
        </w:num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Chemical structure, if you entered text based input</w:t>
      </w:r>
    </w:p>
    <w:p w14:paraId="2D899373" w14:textId="77777777" w:rsidR="00E73CB7" w:rsidRPr="00B714D7" w:rsidRDefault="00E73CB7" w:rsidP="00E73CB7">
      <w:pPr>
        <w:numPr>
          <w:ilvl w:val="0"/>
          <w:numId w:val="40"/>
        </w:num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Predicted LD50 value</w:t>
      </w:r>
    </w:p>
    <w:p w14:paraId="11EA720E" w14:textId="77777777" w:rsidR="00E73CB7" w:rsidRPr="00B714D7" w:rsidRDefault="00E73CB7" w:rsidP="00E73CB7">
      <w:pPr>
        <w:numPr>
          <w:ilvl w:val="0"/>
          <w:numId w:val="40"/>
        </w:num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Predicted Toxicity Class (1 through 5)</w:t>
      </w:r>
    </w:p>
    <w:p w14:paraId="6A263D4E" w14:textId="77777777" w:rsidR="00E73CB7" w:rsidRPr="00B714D7" w:rsidRDefault="00E73CB7" w:rsidP="00E73CB7">
      <w:pPr>
        <w:numPr>
          <w:ilvl w:val="0"/>
          <w:numId w:val="40"/>
        </w:num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General compound information (top right)</w:t>
      </w:r>
    </w:p>
    <w:p w14:paraId="580AB858" w14:textId="77777777" w:rsidR="00E73CB7" w:rsidRPr="00B714D7" w:rsidRDefault="00E73CB7" w:rsidP="00E73CB7">
      <w:pPr>
        <w:numPr>
          <w:ilvl w:val="0"/>
          <w:numId w:val="40"/>
        </w:num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Where your compound lies within the comparison database relevant to molecular weight and LD50 value.</w:t>
      </w:r>
    </w:p>
    <w:p w14:paraId="2E4EEE19"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831FFAB" wp14:editId="41F7836A">
            <wp:extent cx="5925130" cy="4844399"/>
            <wp:effectExtent l="0" t="0" r="0" b="7620"/>
            <wp:docPr id="4" name="Picture 4" descr="https://osha.washington.edu/sites/default/files/documents/professional_development/MoDRN/protoxpi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sha.washington.edu/sites/default/files/documents/professional_development/MoDRN/protoxpic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771" cy="4854734"/>
                    </a:xfrm>
                    <a:prstGeom prst="rect">
                      <a:avLst/>
                    </a:prstGeom>
                    <a:noFill/>
                    <a:ln>
                      <a:noFill/>
                    </a:ln>
                  </pic:spPr>
                </pic:pic>
              </a:graphicData>
            </a:graphic>
          </wp:inline>
        </w:drawing>
      </w:r>
    </w:p>
    <w:p w14:paraId="2510FEAA"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Similar compounds located within the database and any toxic fragments that could be associated with your chemicals composition.</w:t>
      </w:r>
    </w:p>
    <w:p w14:paraId="18068179"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15663B8" wp14:editId="6D02D0C2">
            <wp:extent cx="6044960" cy="5379725"/>
            <wp:effectExtent l="0" t="0" r="635" b="5080"/>
            <wp:docPr id="3" name="Picture 3" descr="https://osha.washington.edu/sites/default/files/documents/professional_development/MoDRN/protoxpi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sha.washington.edu/sites/default/files/documents/professional_development/MoDRN/protoxpic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8158" cy="5400370"/>
                    </a:xfrm>
                    <a:prstGeom prst="rect">
                      <a:avLst/>
                    </a:prstGeom>
                    <a:noFill/>
                    <a:ln>
                      <a:noFill/>
                    </a:ln>
                  </pic:spPr>
                </pic:pic>
              </a:graphicData>
            </a:graphic>
          </wp:inline>
        </w:drawing>
      </w:r>
    </w:p>
    <w:p w14:paraId="4CA1BDE5"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Part 2 presents any potential biological targets that you compound may bind with relevant to oral exposures.  It encompasses only 16 potential targets so there is limitation as to how many potential biological targets are assessed.</w:t>
      </w:r>
    </w:p>
    <w:p w14:paraId="73FEEA35"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BD9F5E9" wp14:editId="6CAA6EF3">
            <wp:extent cx="5882689" cy="2988532"/>
            <wp:effectExtent l="0" t="0" r="10160" b="8890"/>
            <wp:docPr id="2" name="Picture 2" descr="https://osha.washington.edu/sites/default/files/documents/professional_development/MoDRN/protoxp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sha.washington.edu/sites/default/files/documents/professional_development/MoDRN/protoxpic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4638" cy="2994602"/>
                    </a:xfrm>
                    <a:prstGeom prst="rect">
                      <a:avLst/>
                    </a:prstGeom>
                    <a:noFill/>
                    <a:ln>
                      <a:noFill/>
                    </a:ln>
                  </pic:spPr>
                </pic:pic>
              </a:graphicData>
            </a:graphic>
          </wp:inline>
        </w:drawing>
      </w:r>
    </w:p>
    <w:p w14:paraId="156BE24D"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 xml:space="preserve">More detailed explanations regarding the data created from your search is covered in </w:t>
      </w:r>
      <w:proofErr w:type="spellStart"/>
      <w:r w:rsidRPr="00B714D7">
        <w:rPr>
          <w:rFonts w:ascii="Times New Roman" w:eastAsia="Times New Roman" w:hAnsi="Times New Roman" w:cs="Times New Roman"/>
          <w:sz w:val="24"/>
          <w:szCs w:val="24"/>
        </w:rPr>
        <w:t>the</w:t>
      </w:r>
      <w:r>
        <w:fldChar w:fldCharType="begin"/>
      </w:r>
      <w:r>
        <w:instrText xml:space="preserve"> HYPERLINK \t "_blank" </w:instrText>
      </w:r>
      <w:r>
        <w:fldChar w:fldCharType="separate"/>
      </w:r>
      <w:r>
        <w:rPr>
          <w:b/>
          <w:bCs/>
        </w:rPr>
        <w:t>Error</w:t>
      </w:r>
      <w:proofErr w:type="spellEnd"/>
      <w:r>
        <w:rPr>
          <w:b/>
          <w:bCs/>
        </w:rPr>
        <w:t>! Hyperlink reference not valid.</w:t>
      </w:r>
      <w:r>
        <w:rPr>
          <w:rFonts w:ascii="Times New Roman" w:eastAsia="Times New Roman" w:hAnsi="Times New Roman" w:cs="Times New Roman"/>
          <w:color w:val="0000FF"/>
          <w:sz w:val="24"/>
          <w:szCs w:val="24"/>
          <w:u w:val="single"/>
        </w:rPr>
        <w:fldChar w:fldCharType="end"/>
      </w:r>
    </w:p>
    <w:p w14:paraId="66D55EF0"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b/>
          <w:bCs/>
          <w:sz w:val="24"/>
          <w:szCs w:val="24"/>
        </w:rPr>
        <w:t>Assignment:</w:t>
      </w:r>
    </w:p>
    <w:p w14:paraId="22A81B85"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Start again with Benzene as your starting base molecule.  Run benzene through PROTOX's predictive modeling program.  Make note of any relevant toxicology data produced from the program and keep record.  Now add a methyl group to the benzene ring (Toluene) and record any relevant toxicology data.</w:t>
      </w:r>
    </w:p>
    <w:p w14:paraId="26347A3C"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b/>
          <w:bCs/>
          <w:sz w:val="24"/>
          <w:szCs w:val="24"/>
        </w:rPr>
        <w:t xml:space="preserve">Additional Information for Assignment: </w:t>
      </w:r>
    </w:p>
    <w:p w14:paraId="46421D1F"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If you performed any internet queries related to computational toxicology a variety of publications and government agencies should be compiled in the search results.  This should convey the level of interest that the field of toxicology has engaged into newer research methodologies and paradigms.  The U.S. Department of Health and Human Services National Toxicology Program is part of a collaborative effort with the following US regulatory agencies:</w:t>
      </w:r>
    </w:p>
    <w:p w14:paraId="7164197B" w14:textId="77777777" w:rsidR="00E73CB7" w:rsidRPr="00B714D7" w:rsidRDefault="00E73CB7" w:rsidP="00E73CB7">
      <w:pPr>
        <w:numPr>
          <w:ilvl w:val="0"/>
          <w:numId w:val="41"/>
        </w:num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the National Institute of Environmental Health Sciences/National Toxicology Program</w:t>
      </w:r>
    </w:p>
    <w:p w14:paraId="2832811E" w14:textId="77777777" w:rsidR="00E73CB7" w:rsidRPr="00B714D7" w:rsidRDefault="00E73CB7" w:rsidP="00E73CB7">
      <w:pPr>
        <w:numPr>
          <w:ilvl w:val="0"/>
          <w:numId w:val="41"/>
        </w:num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the National Institutes of Health/National Chemical Genomics Center (NCGC)</w:t>
      </w:r>
    </w:p>
    <w:p w14:paraId="34901213" w14:textId="77777777" w:rsidR="00E73CB7" w:rsidRPr="00B714D7" w:rsidRDefault="00E73CB7" w:rsidP="00E73CB7">
      <w:pPr>
        <w:numPr>
          <w:ilvl w:val="0"/>
          <w:numId w:val="41"/>
        </w:num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the Environmental Protection Agency</w:t>
      </w:r>
    </w:p>
    <w:p w14:paraId="161222E5" w14:textId="77777777" w:rsidR="00E73CB7" w:rsidRPr="00B714D7" w:rsidRDefault="00E73CB7" w:rsidP="00E73CB7">
      <w:pPr>
        <w:numPr>
          <w:ilvl w:val="0"/>
          <w:numId w:val="41"/>
        </w:num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and most recently the Food and Drug Administration</w:t>
      </w:r>
    </w:p>
    <w:p w14:paraId="50D16350"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 xml:space="preserve">The program is called TOX21 </w:t>
      </w:r>
      <w:hyperlink r:id="rId20" w:history="1">
        <w:r w:rsidRPr="00B714D7">
          <w:rPr>
            <w:rFonts w:ascii="Times New Roman" w:eastAsia="Times New Roman" w:hAnsi="Times New Roman" w:cs="Times New Roman"/>
            <w:color w:val="0000FF"/>
            <w:sz w:val="24"/>
            <w:szCs w:val="24"/>
            <w:u w:val="single"/>
          </w:rPr>
          <w:t>http://ntp.niehs.nih.gov/results/hts/index.html</w:t>
        </w:r>
      </w:hyperlink>
      <w:r w:rsidRPr="00B714D7">
        <w:rPr>
          <w:rFonts w:ascii="Times New Roman" w:eastAsia="Times New Roman" w:hAnsi="Times New Roman" w:cs="Times New Roman"/>
          <w:sz w:val="24"/>
          <w:szCs w:val="24"/>
        </w:rPr>
        <w:t>.  The program is designed to streamline a more comprehensive approach to toxicology.  Below are some of the goals that the program is attempting to achieve.</w:t>
      </w:r>
    </w:p>
    <w:p w14:paraId="0BDBCFC7" w14:textId="77777777" w:rsidR="00E73CB7" w:rsidRPr="00B714D7" w:rsidRDefault="00E73CB7" w:rsidP="00E73CB7">
      <w:pPr>
        <w:numPr>
          <w:ilvl w:val="0"/>
          <w:numId w:val="42"/>
        </w:num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“Research, develop, validate and translate innovative chemical testing methods that characterize toxicity pathways.”</w:t>
      </w:r>
    </w:p>
    <w:p w14:paraId="0ABEC55C" w14:textId="77777777" w:rsidR="00E73CB7" w:rsidRPr="00B714D7" w:rsidRDefault="00E73CB7" w:rsidP="00E73CB7">
      <w:pPr>
        <w:numPr>
          <w:ilvl w:val="0"/>
          <w:numId w:val="42"/>
        </w:num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“Research ways to use new tools to identify chemical induced biological activity mechanisms.”</w:t>
      </w:r>
    </w:p>
    <w:p w14:paraId="53A61983" w14:textId="77777777" w:rsidR="00E73CB7" w:rsidRPr="00B714D7" w:rsidRDefault="00E73CB7" w:rsidP="00E73CB7">
      <w:pPr>
        <w:numPr>
          <w:ilvl w:val="0"/>
          <w:numId w:val="42"/>
        </w:num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“Prioritize which chemicals need more extensive toxicological evaluation.”</w:t>
      </w:r>
    </w:p>
    <w:p w14:paraId="262D8E2F" w14:textId="77777777" w:rsidR="00E73CB7" w:rsidRPr="00B714D7" w:rsidRDefault="00E73CB7" w:rsidP="00E73CB7">
      <w:pPr>
        <w:numPr>
          <w:ilvl w:val="0"/>
          <w:numId w:val="42"/>
        </w:num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“Develop models that can be used to more effectively predict how chemicals will affect biological responses.”</w:t>
      </w:r>
    </w:p>
    <w:p w14:paraId="3CB46183" w14:textId="77777777" w:rsidR="00E73CB7" w:rsidRPr="00B714D7" w:rsidRDefault="00E73CB7" w:rsidP="00E73CB7">
      <w:pPr>
        <w:numPr>
          <w:ilvl w:val="0"/>
          <w:numId w:val="42"/>
        </w:num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 xml:space="preserve">“Identify chemicals, assays, </w:t>
      </w:r>
      <w:proofErr w:type="spellStart"/>
      <w:r w:rsidRPr="00B714D7">
        <w:rPr>
          <w:rFonts w:ascii="Times New Roman" w:eastAsia="Times New Roman" w:hAnsi="Times New Roman" w:cs="Times New Roman"/>
          <w:sz w:val="24"/>
          <w:szCs w:val="24"/>
        </w:rPr>
        <w:t>informatic</w:t>
      </w:r>
      <w:proofErr w:type="spellEnd"/>
      <w:r w:rsidRPr="00B714D7">
        <w:rPr>
          <w:rFonts w:ascii="Times New Roman" w:eastAsia="Times New Roman" w:hAnsi="Times New Roman" w:cs="Times New Roman"/>
          <w:sz w:val="24"/>
          <w:szCs w:val="24"/>
        </w:rPr>
        <w:t xml:space="preserve"> analyses, and targeted testing needed for the innovative testing methods.”</w:t>
      </w:r>
    </w:p>
    <w:p w14:paraId="6F0DC085" w14:textId="77777777" w:rsidR="00E73CB7" w:rsidRPr="00B714D7" w:rsidRDefault="00E73CB7" w:rsidP="00E73CB7">
      <w:pPr>
        <w:numPr>
          <w:ilvl w:val="0"/>
          <w:numId w:val="42"/>
        </w:num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“Complete construction in 2010 of a library of more than 10,000 chemicals for quantitative High Throughput Screening (</w:t>
      </w:r>
      <w:proofErr w:type="spellStart"/>
      <w:r w:rsidRPr="00B714D7">
        <w:rPr>
          <w:rFonts w:ascii="Times New Roman" w:eastAsia="Times New Roman" w:hAnsi="Times New Roman" w:cs="Times New Roman"/>
          <w:sz w:val="24"/>
          <w:szCs w:val="24"/>
        </w:rPr>
        <w:t>qHTS</w:t>
      </w:r>
      <w:proofErr w:type="spellEnd"/>
      <w:r w:rsidRPr="00B714D7">
        <w:rPr>
          <w:rFonts w:ascii="Times New Roman" w:eastAsia="Times New Roman" w:hAnsi="Times New Roman" w:cs="Times New Roman"/>
          <w:sz w:val="24"/>
          <w:szCs w:val="24"/>
        </w:rPr>
        <w:t>) at the NCGC.”</w:t>
      </w:r>
    </w:p>
    <w:p w14:paraId="7D9F97AA"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If you noticed the fourth statement “Develop models that can be used to more effectively predict how chemicals will affect biological responses” you have already had some exposure to this type of computational model using PROTOX.  This module will also expose you to other computational models available for researching the toxicity of your chemicals.</w:t>
      </w:r>
    </w:p>
    <w:p w14:paraId="6E8A3D94" w14:textId="77777777" w:rsidR="00E73CB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B714D7">
        <w:rPr>
          <w:rFonts w:ascii="Times New Roman" w:eastAsia="Times New Roman" w:hAnsi="Times New Roman" w:cs="Times New Roman"/>
          <w:sz w:val="24"/>
          <w:szCs w:val="24"/>
        </w:rPr>
        <w:t>ChemSpider</w:t>
      </w:r>
      <w:proofErr w:type="spellEnd"/>
      <w:r w:rsidRPr="00B714D7">
        <w:rPr>
          <w:rFonts w:ascii="Times New Roman" w:eastAsia="Times New Roman" w:hAnsi="Times New Roman" w:cs="Times New Roman"/>
          <w:sz w:val="24"/>
          <w:szCs w:val="24"/>
        </w:rPr>
        <w:t xml:space="preserve"> </w:t>
      </w:r>
      <w:hyperlink r:id="rId21" w:history="1">
        <w:r w:rsidRPr="00B714D7">
          <w:rPr>
            <w:rFonts w:ascii="Times New Roman" w:eastAsia="Times New Roman" w:hAnsi="Times New Roman" w:cs="Times New Roman"/>
            <w:color w:val="0000FF"/>
            <w:sz w:val="24"/>
            <w:szCs w:val="24"/>
            <w:u w:val="single"/>
          </w:rPr>
          <w:t>http://www.chemspider.com/AboutUs.aspx</w:t>
        </w:r>
      </w:hyperlink>
      <w:r w:rsidRPr="00B714D7">
        <w:rPr>
          <w:rFonts w:ascii="Times New Roman" w:eastAsia="Times New Roman" w:hAnsi="Times New Roman" w:cs="Times New Roman"/>
          <w:sz w:val="24"/>
          <w:szCs w:val="24"/>
        </w:rPr>
        <w:t xml:space="preserve"> is a site owned by the Royal Chemical Society.  It claims to encompass over 43 million chemical structures in its database.  They also reference over 500 different databases for information on their listed chemicals including links back to many of the original references.  By now you have used PubChem to look up chemical information.  </w:t>
      </w:r>
      <w:proofErr w:type="spellStart"/>
      <w:r w:rsidRPr="00B714D7">
        <w:rPr>
          <w:rFonts w:ascii="Times New Roman" w:eastAsia="Times New Roman" w:hAnsi="Times New Roman" w:cs="Times New Roman"/>
          <w:sz w:val="24"/>
          <w:szCs w:val="24"/>
        </w:rPr>
        <w:t>ChemSpider</w:t>
      </w:r>
      <w:proofErr w:type="spellEnd"/>
      <w:r w:rsidRPr="00B714D7">
        <w:rPr>
          <w:rFonts w:ascii="Times New Roman" w:eastAsia="Times New Roman" w:hAnsi="Times New Roman" w:cs="Times New Roman"/>
          <w:sz w:val="24"/>
          <w:szCs w:val="24"/>
        </w:rPr>
        <w:t xml:space="preserve"> provides much of the same information with the addition of instrumental data, related articles and more.  See the following screen shot for a search on toluene.</w:t>
      </w:r>
    </w:p>
    <w:p w14:paraId="48695B77"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B67D4BF" wp14:editId="771B372C">
            <wp:extent cx="5961937" cy="4764063"/>
            <wp:effectExtent l="0" t="0" r="7620" b="11430"/>
            <wp:docPr id="1" name="Picture 1" descr="https://osha.washington.edu/sites/default/files/documents/professional_development/MoDRN/protoxassignmentp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sha.washington.edu/sites/default/files/documents/professional_development/MoDRN/protoxassignmentpic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8426" cy="4769248"/>
                    </a:xfrm>
                    <a:prstGeom prst="rect">
                      <a:avLst/>
                    </a:prstGeom>
                    <a:noFill/>
                    <a:ln>
                      <a:noFill/>
                    </a:ln>
                  </pic:spPr>
                </pic:pic>
              </a:graphicData>
            </a:graphic>
          </wp:inline>
        </w:drawing>
      </w:r>
    </w:p>
    <w:p w14:paraId="0CE6B216"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 xml:space="preserve">The power behind a resource like </w:t>
      </w:r>
      <w:proofErr w:type="spellStart"/>
      <w:r w:rsidRPr="00B714D7">
        <w:rPr>
          <w:rFonts w:ascii="Times New Roman" w:eastAsia="Times New Roman" w:hAnsi="Times New Roman" w:cs="Times New Roman"/>
          <w:sz w:val="24"/>
          <w:szCs w:val="24"/>
        </w:rPr>
        <w:t>ChemSpider</w:t>
      </w:r>
      <w:proofErr w:type="spellEnd"/>
      <w:r w:rsidRPr="00B714D7">
        <w:rPr>
          <w:rFonts w:ascii="Times New Roman" w:eastAsia="Times New Roman" w:hAnsi="Times New Roman" w:cs="Times New Roman"/>
          <w:sz w:val="24"/>
          <w:szCs w:val="24"/>
        </w:rPr>
        <w:t xml:space="preserve"> is like an internet search engine.  It is encompassing many databases to provide the most comprehensive set of information for your chemical.  Click on the properties tab and you will notice an extensive list of information that becomes available.  Included is an option to access US EPA’s </w:t>
      </w:r>
      <w:proofErr w:type="spellStart"/>
      <w:r w:rsidRPr="00B714D7">
        <w:rPr>
          <w:rFonts w:ascii="Times New Roman" w:eastAsia="Times New Roman" w:hAnsi="Times New Roman" w:cs="Times New Roman"/>
          <w:sz w:val="24"/>
          <w:szCs w:val="24"/>
        </w:rPr>
        <w:t>EPISuite</w:t>
      </w:r>
      <w:proofErr w:type="spellEnd"/>
      <w:r w:rsidRPr="00B714D7">
        <w:rPr>
          <w:rFonts w:ascii="Times New Roman" w:eastAsia="Times New Roman" w:hAnsi="Times New Roman" w:cs="Times New Roman"/>
          <w:sz w:val="24"/>
          <w:szCs w:val="24"/>
        </w:rPr>
        <w:t>.</w:t>
      </w:r>
    </w:p>
    <w:p w14:paraId="094A9EE8"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If you scroll farther down the page, you will see a dropdown for Toxicity (1).  Clicking on that dropdown reveals LD50 values for both rats and mice.  The first bit of information is ORAL LD50 values for rat toxicity data which is what the PROTOX model is based on. </w:t>
      </w:r>
    </w:p>
    <w:p w14:paraId="0EBEE481"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 xml:space="preserve">You should also notice </w:t>
      </w:r>
      <w:proofErr w:type="spellStart"/>
      <w:r w:rsidRPr="00B714D7">
        <w:rPr>
          <w:rFonts w:ascii="Times New Roman" w:eastAsia="Times New Roman" w:hAnsi="Times New Roman" w:cs="Times New Roman"/>
          <w:sz w:val="24"/>
          <w:szCs w:val="24"/>
        </w:rPr>
        <w:t>ChemSpider</w:t>
      </w:r>
      <w:proofErr w:type="spellEnd"/>
      <w:r w:rsidRPr="00B714D7">
        <w:rPr>
          <w:rFonts w:ascii="Times New Roman" w:eastAsia="Times New Roman" w:hAnsi="Times New Roman" w:cs="Times New Roman"/>
          <w:sz w:val="24"/>
          <w:szCs w:val="24"/>
        </w:rPr>
        <w:t xml:space="preserve"> provides information on exposure routes (2), target organs for toxicity (3), and workplace exposure limits (4) provided by reference to Federal regulatory agencies for workplace safety.</w:t>
      </w:r>
    </w:p>
    <w:p w14:paraId="4C50E182" w14:textId="77777777" w:rsidR="00E73CB7" w:rsidRDefault="00E73CB7" w:rsidP="00E73CB7">
      <w:pPr>
        <w:spacing w:before="100" w:beforeAutospacing="1" w:after="100" w:afterAutospacing="1" w:line="240" w:lineRule="auto"/>
        <w:jc w:val="both"/>
        <w:rPr>
          <w:rFonts w:ascii="Times New Roman" w:eastAsia="Times New Roman" w:hAnsi="Times New Roman" w:cs="Times New Roman"/>
          <w:b/>
          <w:bCs/>
          <w:sz w:val="24"/>
          <w:szCs w:val="24"/>
        </w:rPr>
      </w:pPr>
    </w:p>
    <w:p w14:paraId="55E81E5A" w14:textId="77777777" w:rsidR="00E73CB7" w:rsidRDefault="00E73CB7" w:rsidP="00E73CB7">
      <w:pPr>
        <w:spacing w:before="100" w:beforeAutospacing="1" w:after="100" w:afterAutospacing="1" w:line="240" w:lineRule="auto"/>
        <w:jc w:val="both"/>
        <w:rPr>
          <w:rFonts w:ascii="Times New Roman" w:eastAsia="Times New Roman" w:hAnsi="Times New Roman" w:cs="Times New Roman"/>
          <w:b/>
          <w:bCs/>
          <w:sz w:val="24"/>
          <w:szCs w:val="24"/>
        </w:rPr>
      </w:pPr>
    </w:p>
    <w:p w14:paraId="44E152A3" w14:textId="77777777" w:rsidR="00E73CB7" w:rsidRPr="00B714D7" w:rsidRDefault="00E73CB7" w:rsidP="00E73CB7">
      <w:p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b/>
          <w:bCs/>
          <w:sz w:val="24"/>
          <w:szCs w:val="24"/>
        </w:rPr>
        <w:t xml:space="preserve">Resources:  </w:t>
      </w:r>
    </w:p>
    <w:p w14:paraId="132C1F4B" w14:textId="77777777" w:rsidR="00E73CB7" w:rsidRPr="00B714D7" w:rsidRDefault="00E73CB7" w:rsidP="00E73CB7">
      <w:pPr>
        <w:numPr>
          <w:ilvl w:val="0"/>
          <w:numId w:val="43"/>
        </w:num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 xml:space="preserve">American Society for Cellular and Computational Toxicology. (2016). Homepage. Retrieved from </w:t>
      </w:r>
      <w:hyperlink r:id="rId23" w:history="1">
        <w:r w:rsidRPr="00B714D7">
          <w:rPr>
            <w:rFonts w:ascii="Times New Roman" w:eastAsia="Times New Roman" w:hAnsi="Times New Roman" w:cs="Times New Roman"/>
            <w:color w:val="0000FF"/>
            <w:sz w:val="24"/>
            <w:szCs w:val="24"/>
            <w:u w:val="single"/>
          </w:rPr>
          <w:t>http://www.ascctox.org/</w:t>
        </w:r>
      </w:hyperlink>
    </w:p>
    <w:p w14:paraId="1EB93F30" w14:textId="77777777" w:rsidR="00E73CB7" w:rsidRPr="00B714D7" w:rsidRDefault="00E73CB7" w:rsidP="00E73CB7">
      <w:pPr>
        <w:numPr>
          <w:ilvl w:val="0"/>
          <w:numId w:val="43"/>
        </w:num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El-</w:t>
      </w:r>
      <w:proofErr w:type="spellStart"/>
      <w:r w:rsidRPr="00B714D7">
        <w:rPr>
          <w:rFonts w:ascii="Times New Roman" w:eastAsia="Times New Roman" w:hAnsi="Times New Roman" w:cs="Times New Roman"/>
          <w:sz w:val="24"/>
          <w:szCs w:val="24"/>
        </w:rPr>
        <w:t>Masri</w:t>
      </w:r>
      <w:proofErr w:type="spellEnd"/>
      <w:r w:rsidRPr="00B714D7">
        <w:rPr>
          <w:rFonts w:ascii="Times New Roman" w:eastAsia="Times New Roman" w:hAnsi="Times New Roman" w:cs="Times New Roman"/>
          <w:sz w:val="24"/>
          <w:szCs w:val="24"/>
        </w:rPr>
        <w:t xml:space="preserve">, H. A., </w:t>
      </w:r>
      <w:proofErr w:type="spellStart"/>
      <w:r w:rsidRPr="00B714D7">
        <w:rPr>
          <w:rFonts w:ascii="Times New Roman" w:eastAsia="Times New Roman" w:hAnsi="Times New Roman" w:cs="Times New Roman"/>
          <w:sz w:val="24"/>
          <w:szCs w:val="24"/>
        </w:rPr>
        <w:t>Mumtaz</w:t>
      </w:r>
      <w:proofErr w:type="spellEnd"/>
      <w:r w:rsidRPr="00B714D7">
        <w:rPr>
          <w:rFonts w:ascii="Times New Roman" w:eastAsia="Times New Roman" w:hAnsi="Times New Roman" w:cs="Times New Roman"/>
          <w:sz w:val="24"/>
          <w:szCs w:val="24"/>
        </w:rPr>
        <w:t xml:space="preserve">, M. M., </w:t>
      </w:r>
      <w:proofErr w:type="spellStart"/>
      <w:r w:rsidRPr="00B714D7">
        <w:rPr>
          <w:rFonts w:ascii="Times New Roman" w:eastAsia="Times New Roman" w:hAnsi="Times New Roman" w:cs="Times New Roman"/>
          <w:sz w:val="24"/>
          <w:szCs w:val="24"/>
        </w:rPr>
        <w:t>Choudhary</w:t>
      </w:r>
      <w:proofErr w:type="spellEnd"/>
      <w:r w:rsidRPr="00B714D7">
        <w:rPr>
          <w:rFonts w:ascii="Times New Roman" w:eastAsia="Times New Roman" w:hAnsi="Times New Roman" w:cs="Times New Roman"/>
          <w:sz w:val="24"/>
          <w:szCs w:val="24"/>
        </w:rPr>
        <w:t xml:space="preserve">, G., </w:t>
      </w:r>
      <w:proofErr w:type="spellStart"/>
      <w:r w:rsidRPr="00B714D7">
        <w:rPr>
          <w:rFonts w:ascii="Times New Roman" w:eastAsia="Times New Roman" w:hAnsi="Times New Roman" w:cs="Times New Roman"/>
          <w:sz w:val="24"/>
          <w:szCs w:val="24"/>
        </w:rPr>
        <w:t>Cibulas</w:t>
      </w:r>
      <w:proofErr w:type="spellEnd"/>
      <w:r w:rsidRPr="00B714D7">
        <w:rPr>
          <w:rFonts w:ascii="Times New Roman" w:eastAsia="Times New Roman" w:hAnsi="Times New Roman" w:cs="Times New Roman"/>
          <w:sz w:val="24"/>
          <w:szCs w:val="24"/>
        </w:rPr>
        <w:t xml:space="preserve">, W., &amp; De Rosa, C. T. (2002). Applications of computational toxicology methods at the Agency for Toxic Substances and Disease Registry. </w:t>
      </w:r>
      <w:r w:rsidRPr="00B714D7">
        <w:rPr>
          <w:rFonts w:ascii="Times New Roman" w:eastAsia="Times New Roman" w:hAnsi="Times New Roman" w:cs="Times New Roman"/>
          <w:i/>
          <w:iCs/>
          <w:sz w:val="24"/>
          <w:szCs w:val="24"/>
        </w:rPr>
        <w:t>International journal of hygiene and environmental health</w:t>
      </w:r>
      <w:r w:rsidRPr="00B714D7">
        <w:rPr>
          <w:rFonts w:ascii="Times New Roman" w:eastAsia="Times New Roman" w:hAnsi="Times New Roman" w:cs="Times New Roman"/>
          <w:sz w:val="24"/>
          <w:szCs w:val="24"/>
        </w:rPr>
        <w:t xml:space="preserve">, </w:t>
      </w:r>
      <w:r w:rsidRPr="00B714D7">
        <w:rPr>
          <w:rFonts w:ascii="Times New Roman" w:eastAsia="Times New Roman" w:hAnsi="Times New Roman" w:cs="Times New Roman"/>
          <w:i/>
          <w:iCs/>
          <w:sz w:val="24"/>
          <w:szCs w:val="24"/>
        </w:rPr>
        <w:t>205</w:t>
      </w:r>
      <w:r w:rsidRPr="00B714D7">
        <w:rPr>
          <w:rFonts w:ascii="Times New Roman" w:eastAsia="Times New Roman" w:hAnsi="Times New Roman" w:cs="Times New Roman"/>
          <w:sz w:val="24"/>
          <w:szCs w:val="24"/>
        </w:rPr>
        <w:t xml:space="preserve">(1), 63-69. Retrieved from </w:t>
      </w:r>
      <w:hyperlink r:id="rId24" w:history="1">
        <w:r w:rsidRPr="00B714D7">
          <w:rPr>
            <w:rFonts w:ascii="Times New Roman" w:eastAsia="Times New Roman" w:hAnsi="Times New Roman" w:cs="Times New Roman"/>
            <w:color w:val="0000FF"/>
            <w:sz w:val="24"/>
            <w:szCs w:val="24"/>
            <w:u w:val="single"/>
          </w:rPr>
          <w:t>http://www.atsdr.cdc.gov/mrls/articles/applications_of_computational_toxicology_methods_at_ATSDR.pdf</w:t>
        </w:r>
      </w:hyperlink>
    </w:p>
    <w:p w14:paraId="43B9DE18" w14:textId="77777777" w:rsidR="00E73CB7" w:rsidRPr="00B714D7" w:rsidRDefault="00E73CB7" w:rsidP="00E73CB7">
      <w:pPr>
        <w:numPr>
          <w:ilvl w:val="0"/>
          <w:numId w:val="43"/>
        </w:num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 xml:space="preserve">Environmental Protection Agency. (2016). About the National Center for Computational Toxicology (NCCT). Retrieved from </w:t>
      </w:r>
      <w:hyperlink r:id="rId25" w:history="1">
        <w:r w:rsidRPr="00B714D7">
          <w:rPr>
            <w:rFonts w:ascii="Times New Roman" w:eastAsia="Times New Roman" w:hAnsi="Times New Roman" w:cs="Times New Roman"/>
            <w:color w:val="0000FF"/>
            <w:sz w:val="24"/>
            <w:szCs w:val="24"/>
            <w:u w:val="single"/>
          </w:rPr>
          <w:t>http://www.epa.gov/aboutepa/about-national-center-computational-toxicology-ncct</w:t>
        </w:r>
      </w:hyperlink>
    </w:p>
    <w:p w14:paraId="4C8A0766" w14:textId="77777777" w:rsidR="00E73CB7" w:rsidRPr="00B714D7" w:rsidRDefault="00E73CB7" w:rsidP="00E73CB7">
      <w:pPr>
        <w:numPr>
          <w:ilvl w:val="0"/>
          <w:numId w:val="43"/>
        </w:numPr>
        <w:spacing w:before="100" w:beforeAutospacing="1" w:after="100" w:afterAutospacing="1" w:line="240" w:lineRule="auto"/>
        <w:jc w:val="both"/>
        <w:rPr>
          <w:rFonts w:ascii="Times New Roman" w:eastAsia="Times New Roman" w:hAnsi="Times New Roman" w:cs="Times New Roman"/>
          <w:sz w:val="24"/>
          <w:szCs w:val="24"/>
        </w:rPr>
      </w:pPr>
      <w:r w:rsidRPr="00B714D7">
        <w:rPr>
          <w:rFonts w:ascii="Times New Roman" w:eastAsia="Times New Roman" w:hAnsi="Times New Roman" w:cs="Times New Roman"/>
          <w:sz w:val="24"/>
          <w:szCs w:val="24"/>
        </w:rPr>
        <w:t xml:space="preserve">National Institutes of Health. (2008). NIH collaborates with EPA to improve the safety testing of chemicals. Retrieved from </w:t>
      </w:r>
      <w:hyperlink r:id="rId26" w:history="1">
        <w:r w:rsidRPr="00B714D7">
          <w:rPr>
            <w:rFonts w:ascii="Times New Roman" w:eastAsia="Times New Roman" w:hAnsi="Times New Roman" w:cs="Times New Roman"/>
            <w:color w:val="0000FF"/>
            <w:sz w:val="24"/>
            <w:szCs w:val="24"/>
            <w:u w:val="single"/>
          </w:rPr>
          <w:t>http://www.nih.gov/news-events/news-releases/nih-collaborates-epa-improve-safety-testing-chemicals</w:t>
        </w:r>
      </w:hyperlink>
    </w:p>
    <w:p w14:paraId="1DA42781" w14:textId="664AB53C" w:rsidR="00407120" w:rsidRDefault="00E73CB7" w:rsidP="00E73CB7">
      <w:pPr>
        <w:jc w:val="both"/>
      </w:pPr>
      <w:r w:rsidRPr="00B714D7">
        <w:rPr>
          <w:rFonts w:ascii="Times New Roman" w:eastAsia="Times New Roman" w:hAnsi="Times New Roman" w:cs="Times New Roman"/>
          <w:sz w:val="24"/>
          <w:szCs w:val="24"/>
        </w:rPr>
        <w:t>This material is based upon work supported by the NSF Division of Chemistry and the Environmental Protection Agency under Grant No. 13</w:t>
      </w:r>
      <w:bookmarkStart w:id="0" w:name="_GoBack"/>
      <w:bookmarkEnd w:id="0"/>
      <w:r w:rsidRPr="00B714D7">
        <w:rPr>
          <w:rFonts w:ascii="Times New Roman" w:eastAsia="Times New Roman" w:hAnsi="Times New Roman" w:cs="Times New Roman"/>
          <w:sz w:val="24"/>
          <w:szCs w:val="24"/>
        </w:rPr>
        <w:t>39637.</w:t>
      </w:r>
    </w:p>
    <w:sectPr w:rsidR="00407120" w:rsidSect="00BA665C">
      <w:headerReference w:type="even" r:id="rId27"/>
      <w:headerReference w:type="default" r:id="rId28"/>
      <w:footerReference w:type="default" r:id="rId29"/>
      <w:headerReference w:type="first" r:id="rId30"/>
      <w:pgSz w:w="12240" w:h="15840"/>
      <w:pgMar w:top="1008" w:right="1800" w:bottom="1440" w:left="1800" w:header="2448" w:footer="144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CF91B5" w14:textId="77777777" w:rsidR="00257E2D" w:rsidRDefault="00257E2D" w:rsidP="009F12DB">
      <w:r>
        <w:separator/>
      </w:r>
    </w:p>
  </w:endnote>
  <w:endnote w:type="continuationSeparator" w:id="0">
    <w:p w14:paraId="7E6600C1" w14:textId="77777777" w:rsidR="00257E2D" w:rsidRDefault="00257E2D" w:rsidP="009F1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EFF" w:usb1="C000605B" w:usb2="00000029" w:usb3="00000000" w:csb0="000101F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
    <w:altName w:val="Arial Unicode MS"/>
    <w:panose1 w:val="00000000000000000000"/>
    <w:charset w:val="80"/>
    <w:family w:val="auto"/>
    <w:notTrueType/>
    <w:pitch w:val="variable"/>
    <w:sig w:usb0="00000001" w:usb1="08070000" w:usb2="00000010" w:usb3="00000000" w:csb0="00020000" w:csb1="00000000"/>
  </w:font>
  <w:font w:name="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72D3C58" w14:textId="77777777" w:rsidR="00BA665C" w:rsidRDefault="00BA665C">
    <w:pPr>
      <w:pStyle w:val="Footer"/>
    </w:pPr>
    <w: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49DC81" w14:textId="77777777" w:rsidR="00257E2D" w:rsidRDefault="00257E2D" w:rsidP="009F12DB">
      <w:r>
        <w:separator/>
      </w:r>
    </w:p>
  </w:footnote>
  <w:footnote w:type="continuationSeparator" w:id="0">
    <w:p w14:paraId="393BC6E4" w14:textId="77777777" w:rsidR="00257E2D" w:rsidRDefault="00257E2D" w:rsidP="009F12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7828C6B" w14:textId="77777777" w:rsidR="009F12DB" w:rsidRDefault="00257E2D">
    <w:pPr>
      <w:pStyle w:val="Header"/>
    </w:pPr>
    <w:r>
      <w:rPr>
        <w:noProof/>
      </w:rPr>
      <w:pict w14:anchorId="15393D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792.5pt;z-index:-251657216;mso-wrap-edited:f;mso-position-horizontal:center;mso-position-horizontal-relative:margin;mso-position-vertical:center;mso-position-vertical-relative:margin" wrapcoords="-26 0 -26 21559 21600 21559 21600 0 -26 0">
          <v:imagedata r:id="rId1" o:title="MoDRN Watermark"/>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6CF37A8" w14:textId="77777777" w:rsidR="009F12DB" w:rsidRDefault="00257E2D">
    <w:pPr>
      <w:pStyle w:val="Header"/>
    </w:pPr>
    <w:r>
      <w:rPr>
        <w:noProof/>
      </w:rPr>
      <w:pict w14:anchorId="4FFE1E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85.95pt;margin-top:-156.05pt;width:612pt;height:792.5pt;z-index:-251658240;mso-wrap-edited:f;mso-position-horizontal-relative:margin;mso-position-vertical-relative:margin" wrapcoords="-26 0 -26 21559 21600 21559 21600 0 -26 0">
          <v:imagedata r:id="rId1" o:title="MoDRN Watermark"/>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B7F869D" w14:textId="77777777" w:rsidR="009F12DB" w:rsidRDefault="00257E2D">
    <w:pPr>
      <w:pStyle w:val="Header"/>
    </w:pPr>
    <w:r>
      <w:rPr>
        <w:noProof/>
      </w:rPr>
      <w:pict w14:anchorId="62DD87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792.5pt;z-index:-251656192;mso-wrap-edited:f;mso-position-horizontal:center;mso-position-horizontal-relative:margin;mso-position-vertical:center;mso-position-vertical-relative:margin" wrapcoords="-26 0 -26 21559 21600 21559 21600 0 -26 0">
          <v:imagedata r:id="rId1" o:title="MoDRN Watermark"/>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81FA1"/>
    <w:multiLevelType w:val="multilevel"/>
    <w:tmpl w:val="19B23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48125B"/>
    <w:multiLevelType w:val="hybridMultilevel"/>
    <w:tmpl w:val="BB4A79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0EA0A83"/>
    <w:multiLevelType w:val="multilevel"/>
    <w:tmpl w:val="E3361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DE633C"/>
    <w:multiLevelType w:val="multilevel"/>
    <w:tmpl w:val="933A9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B5054B"/>
    <w:multiLevelType w:val="multilevel"/>
    <w:tmpl w:val="9D3CA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260140"/>
    <w:multiLevelType w:val="hybridMultilevel"/>
    <w:tmpl w:val="D47E5E2C"/>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nsid w:val="203B381E"/>
    <w:multiLevelType w:val="multilevel"/>
    <w:tmpl w:val="4E348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684FC3"/>
    <w:multiLevelType w:val="hybridMultilevel"/>
    <w:tmpl w:val="274E34D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25AA2831"/>
    <w:multiLevelType w:val="hybridMultilevel"/>
    <w:tmpl w:val="27CABB9A"/>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
    <w:nsid w:val="2CCE10FD"/>
    <w:multiLevelType w:val="hybridMultilevel"/>
    <w:tmpl w:val="E410D7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D263500"/>
    <w:multiLevelType w:val="hybridMultilevel"/>
    <w:tmpl w:val="F51CCD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11C43BE"/>
    <w:multiLevelType w:val="hybridMultilevel"/>
    <w:tmpl w:val="919A388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341F5741"/>
    <w:multiLevelType w:val="hybridMultilevel"/>
    <w:tmpl w:val="46FA6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AC0F59"/>
    <w:multiLevelType w:val="multilevel"/>
    <w:tmpl w:val="E6CA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91478A"/>
    <w:multiLevelType w:val="hybridMultilevel"/>
    <w:tmpl w:val="3DE4BDCA"/>
    <w:lvl w:ilvl="0" w:tplc="65A4D364">
      <w:start w:val="1"/>
      <w:numFmt w:val="decimal"/>
      <w:lvlText w:val="%1."/>
      <w:lvlJc w:val="left"/>
      <w:pPr>
        <w:ind w:left="360" w:hanging="360"/>
      </w:pPr>
      <w:rPr>
        <w:rFonts w:hint="default"/>
        <w:i/>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8B37012"/>
    <w:multiLevelType w:val="multilevel"/>
    <w:tmpl w:val="6DFE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D36526"/>
    <w:multiLevelType w:val="multilevel"/>
    <w:tmpl w:val="40F6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82274E"/>
    <w:multiLevelType w:val="multilevel"/>
    <w:tmpl w:val="4044C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7A5AED"/>
    <w:multiLevelType w:val="multilevel"/>
    <w:tmpl w:val="0B1E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094F51"/>
    <w:multiLevelType w:val="multilevel"/>
    <w:tmpl w:val="1988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C50D56"/>
    <w:multiLevelType w:val="multilevel"/>
    <w:tmpl w:val="79B20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8260A8"/>
    <w:multiLevelType w:val="multilevel"/>
    <w:tmpl w:val="B5AAE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F35A71"/>
    <w:multiLevelType w:val="multilevel"/>
    <w:tmpl w:val="F54E5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0014E3"/>
    <w:multiLevelType w:val="multilevel"/>
    <w:tmpl w:val="F2147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CE2F7A"/>
    <w:multiLevelType w:val="hybridMultilevel"/>
    <w:tmpl w:val="5414EE10"/>
    <w:lvl w:ilvl="0" w:tplc="F61887F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0824690"/>
    <w:multiLevelType w:val="hybridMultilevel"/>
    <w:tmpl w:val="85BE5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3CE3C6F"/>
    <w:multiLevelType w:val="hybridMultilevel"/>
    <w:tmpl w:val="00FC0C24"/>
    <w:lvl w:ilvl="0" w:tplc="81BECB2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AF0303"/>
    <w:multiLevelType w:val="multilevel"/>
    <w:tmpl w:val="5E64A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6033F1"/>
    <w:multiLevelType w:val="multilevel"/>
    <w:tmpl w:val="A20410D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nsid w:val="59E57CE1"/>
    <w:multiLevelType w:val="multilevel"/>
    <w:tmpl w:val="2DEE6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E407CF"/>
    <w:multiLevelType w:val="multilevel"/>
    <w:tmpl w:val="7532A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C002FA1"/>
    <w:multiLevelType w:val="hybridMultilevel"/>
    <w:tmpl w:val="CA0CDD7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276C27"/>
    <w:multiLevelType w:val="hybridMultilevel"/>
    <w:tmpl w:val="B3E86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B83FE3"/>
    <w:multiLevelType w:val="multilevel"/>
    <w:tmpl w:val="456E1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3800E2"/>
    <w:multiLevelType w:val="multilevel"/>
    <w:tmpl w:val="F802F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9A10C6C"/>
    <w:multiLevelType w:val="multilevel"/>
    <w:tmpl w:val="591AB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BB07EA"/>
    <w:multiLevelType w:val="hybridMultilevel"/>
    <w:tmpl w:val="FE686E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2A77B0"/>
    <w:multiLevelType w:val="hybridMultilevel"/>
    <w:tmpl w:val="CCA2DB8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3924C2"/>
    <w:multiLevelType w:val="hybridMultilevel"/>
    <w:tmpl w:val="C4EC30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0524D51"/>
    <w:multiLevelType w:val="hybridMultilevel"/>
    <w:tmpl w:val="C73263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7B51B52"/>
    <w:multiLevelType w:val="multilevel"/>
    <w:tmpl w:val="A34AF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A316B2A"/>
    <w:multiLevelType w:val="hybridMultilevel"/>
    <w:tmpl w:val="0748B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D557A12"/>
    <w:multiLevelType w:val="multilevel"/>
    <w:tmpl w:val="9088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2"/>
  </w:num>
  <w:num w:numId="3">
    <w:abstractNumId w:val="8"/>
  </w:num>
  <w:num w:numId="4">
    <w:abstractNumId w:val="7"/>
  </w:num>
  <w:num w:numId="5">
    <w:abstractNumId w:val="11"/>
  </w:num>
  <w:num w:numId="6">
    <w:abstractNumId w:val="37"/>
  </w:num>
  <w:num w:numId="7">
    <w:abstractNumId w:val="31"/>
  </w:num>
  <w:num w:numId="8">
    <w:abstractNumId w:val="32"/>
  </w:num>
  <w:num w:numId="9">
    <w:abstractNumId w:val="24"/>
  </w:num>
  <w:num w:numId="10">
    <w:abstractNumId w:val="14"/>
  </w:num>
  <w:num w:numId="11">
    <w:abstractNumId w:val="9"/>
  </w:num>
  <w:num w:numId="12">
    <w:abstractNumId w:val="36"/>
  </w:num>
  <w:num w:numId="13">
    <w:abstractNumId w:val="26"/>
  </w:num>
  <w:num w:numId="14">
    <w:abstractNumId w:val="38"/>
  </w:num>
  <w:num w:numId="15">
    <w:abstractNumId w:val="39"/>
  </w:num>
  <w:num w:numId="16">
    <w:abstractNumId w:val="25"/>
  </w:num>
  <w:num w:numId="17">
    <w:abstractNumId w:val="41"/>
  </w:num>
  <w:num w:numId="18">
    <w:abstractNumId w:val="1"/>
  </w:num>
  <w:num w:numId="19">
    <w:abstractNumId w:val="10"/>
  </w:num>
  <w:num w:numId="20">
    <w:abstractNumId w:val="6"/>
  </w:num>
  <w:num w:numId="21">
    <w:abstractNumId w:val="34"/>
  </w:num>
  <w:num w:numId="22">
    <w:abstractNumId w:val="29"/>
  </w:num>
  <w:num w:numId="23">
    <w:abstractNumId w:val="4"/>
  </w:num>
  <w:num w:numId="24">
    <w:abstractNumId w:val="21"/>
  </w:num>
  <w:num w:numId="25">
    <w:abstractNumId w:val="40"/>
  </w:num>
  <w:num w:numId="26">
    <w:abstractNumId w:val="42"/>
  </w:num>
  <w:num w:numId="27">
    <w:abstractNumId w:val="3"/>
  </w:num>
  <w:num w:numId="28">
    <w:abstractNumId w:val="2"/>
  </w:num>
  <w:num w:numId="29">
    <w:abstractNumId w:val="20"/>
  </w:num>
  <w:num w:numId="30">
    <w:abstractNumId w:val="19"/>
  </w:num>
  <w:num w:numId="31">
    <w:abstractNumId w:val="33"/>
  </w:num>
  <w:num w:numId="32">
    <w:abstractNumId w:val="27"/>
  </w:num>
  <w:num w:numId="33">
    <w:abstractNumId w:val="23"/>
  </w:num>
  <w:num w:numId="34">
    <w:abstractNumId w:val="18"/>
  </w:num>
  <w:num w:numId="35">
    <w:abstractNumId w:val="28"/>
  </w:num>
  <w:num w:numId="36">
    <w:abstractNumId w:val="22"/>
  </w:num>
  <w:num w:numId="37">
    <w:abstractNumId w:val="13"/>
  </w:num>
  <w:num w:numId="38">
    <w:abstractNumId w:val="17"/>
  </w:num>
  <w:num w:numId="39">
    <w:abstractNumId w:val="0"/>
  </w:num>
  <w:num w:numId="40">
    <w:abstractNumId w:val="35"/>
  </w:num>
  <w:num w:numId="41">
    <w:abstractNumId w:val="30"/>
  </w:num>
  <w:num w:numId="42">
    <w:abstractNumId w:val="15"/>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2"/>
  <w:proofState w:spelling="clean" w:grammar="clean"/>
  <w:attachedTemplate r:id="rId1"/>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2DB"/>
    <w:rsid w:val="00034348"/>
    <w:rsid w:val="00067F18"/>
    <w:rsid w:val="00175DAF"/>
    <w:rsid w:val="00257E2D"/>
    <w:rsid w:val="002D21BB"/>
    <w:rsid w:val="00407120"/>
    <w:rsid w:val="004A16EE"/>
    <w:rsid w:val="0064245B"/>
    <w:rsid w:val="00990A20"/>
    <w:rsid w:val="009F12DB"/>
    <w:rsid w:val="00B8635C"/>
    <w:rsid w:val="00BA665C"/>
    <w:rsid w:val="00D944A5"/>
    <w:rsid w:val="00E73CB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008EA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uiPriority="99"/>
    <w:lsdException w:name="No Spacing" w:uiPriority="1" w:qFormat="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2DB"/>
    <w:pPr>
      <w:spacing w:after="200" w:line="276" w:lineRule="auto"/>
    </w:pPr>
    <w:rPr>
      <w:sz w:val="22"/>
      <w:szCs w:val="22"/>
      <w:lang w:eastAsia="zh-CN"/>
    </w:rPr>
  </w:style>
  <w:style w:type="paragraph" w:styleId="Heading1">
    <w:name w:val="heading 1"/>
    <w:basedOn w:val="Normal"/>
    <w:next w:val="Normal"/>
    <w:link w:val="Heading1Char"/>
    <w:qFormat/>
    <w:rsid w:val="00BA665C"/>
    <w:pPr>
      <w:keepNext/>
      <w:spacing w:after="0" w:line="240" w:lineRule="auto"/>
      <w:outlineLvl w:val="0"/>
    </w:pPr>
    <w:rPr>
      <w:rFonts w:ascii="Times" w:eastAsia="Times" w:hAnsi="Times" w:cs="Times New Roman"/>
      <w:b/>
      <w:szCs w:val="20"/>
    </w:rPr>
  </w:style>
  <w:style w:type="paragraph" w:styleId="Heading3">
    <w:name w:val="heading 3"/>
    <w:basedOn w:val="Normal"/>
    <w:next w:val="Normal"/>
    <w:link w:val="Heading3Char"/>
    <w:uiPriority w:val="9"/>
    <w:unhideWhenUsed/>
    <w:qFormat/>
    <w:rsid w:val="00BA665C"/>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55E0"/>
    <w:pPr>
      <w:tabs>
        <w:tab w:val="center" w:pos="4320"/>
        <w:tab w:val="right" w:pos="8640"/>
      </w:tabs>
    </w:pPr>
  </w:style>
  <w:style w:type="character" w:customStyle="1" w:styleId="HeaderChar">
    <w:name w:val="Header Char"/>
    <w:basedOn w:val="DefaultParagraphFont"/>
    <w:link w:val="Header"/>
    <w:uiPriority w:val="99"/>
    <w:rsid w:val="00B055E0"/>
  </w:style>
  <w:style w:type="paragraph" w:styleId="Footer">
    <w:name w:val="footer"/>
    <w:basedOn w:val="Normal"/>
    <w:link w:val="FooterChar"/>
    <w:uiPriority w:val="99"/>
    <w:unhideWhenUsed/>
    <w:rsid w:val="00B055E0"/>
    <w:pPr>
      <w:tabs>
        <w:tab w:val="center" w:pos="4320"/>
        <w:tab w:val="right" w:pos="8640"/>
      </w:tabs>
    </w:pPr>
  </w:style>
  <w:style w:type="character" w:customStyle="1" w:styleId="FooterChar">
    <w:name w:val="Footer Char"/>
    <w:basedOn w:val="DefaultParagraphFont"/>
    <w:link w:val="Footer"/>
    <w:uiPriority w:val="99"/>
    <w:rsid w:val="00B055E0"/>
  </w:style>
  <w:style w:type="character" w:customStyle="1" w:styleId="Heading1Char">
    <w:name w:val="Heading 1 Char"/>
    <w:basedOn w:val="DefaultParagraphFont"/>
    <w:link w:val="Heading1"/>
    <w:rsid w:val="00BA665C"/>
    <w:rPr>
      <w:rFonts w:ascii="Times" w:eastAsia="Times" w:hAnsi="Times" w:cs="Times New Roman"/>
      <w:b/>
      <w:sz w:val="22"/>
      <w:szCs w:val="20"/>
    </w:rPr>
  </w:style>
  <w:style w:type="character" w:customStyle="1" w:styleId="Heading3Char">
    <w:name w:val="Heading 3 Char"/>
    <w:basedOn w:val="DefaultParagraphFont"/>
    <w:link w:val="Heading3"/>
    <w:uiPriority w:val="9"/>
    <w:rsid w:val="00BA665C"/>
    <w:rPr>
      <w:rFonts w:asciiTheme="majorHAnsi" w:eastAsiaTheme="majorEastAsia" w:hAnsiTheme="majorHAnsi" w:cstheme="majorBidi"/>
      <w:b/>
      <w:bCs/>
      <w:color w:val="4F81BD" w:themeColor="accent1"/>
    </w:rPr>
  </w:style>
  <w:style w:type="paragraph" w:styleId="BalloonText">
    <w:name w:val="Balloon Text"/>
    <w:basedOn w:val="Normal"/>
    <w:link w:val="BalloonTextChar1"/>
    <w:uiPriority w:val="99"/>
    <w:rsid w:val="00BA665C"/>
    <w:pPr>
      <w:spacing w:after="0" w:line="240" w:lineRule="auto"/>
    </w:pPr>
    <w:rPr>
      <w:rFonts w:ascii="Lucida Grande" w:eastAsia="Times New Roman" w:hAnsi="Lucida Grande" w:cs="Lucida Grande"/>
      <w:sz w:val="18"/>
      <w:szCs w:val="18"/>
      <w:lang w:eastAsia="en-US"/>
    </w:rPr>
  </w:style>
  <w:style w:type="character" w:customStyle="1" w:styleId="BalloonTextChar">
    <w:name w:val="Balloon Text Char"/>
    <w:basedOn w:val="DefaultParagraphFont"/>
    <w:uiPriority w:val="99"/>
    <w:rsid w:val="00BA665C"/>
    <w:rPr>
      <w:rFonts w:ascii="Lucida Grande" w:hAnsi="Lucida Grande"/>
      <w:sz w:val="18"/>
      <w:szCs w:val="18"/>
      <w:lang w:eastAsia="zh-CN"/>
    </w:rPr>
  </w:style>
  <w:style w:type="character" w:customStyle="1" w:styleId="apple-style-span">
    <w:name w:val="apple-style-span"/>
    <w:basedOn w:val="DefaultParagraphFont"/>
    <w:rsid w:val="00BA665C"/>
    <w:rPr>
      <w:rFonts w:cs="Times New Roman"/>
    </w:rPr>
  </w:style>
  <w:style w:type="character" w:styleId="CommentReference">
    <w:name w:val="annotation reference"/>
    <w:basedOn w:val="DefaultParagraphFont"/>
    <w:uiPriority w:val="99"/>
    <w:rsid w:val="00BA665C"/>
    <w:rPr>
      <w:rFonts w:cs="Times New Roman"/>
      <w:sz w:val="18"/>
    </w:rPr>
  </w:style>
  <w:style w:type="paragraph" w:styleId="CommentText">
    <w:name w:val="annotation text"/>
    <w:basedOn w:val="Normal"/>
    <w:link w:val="CommentTextChar"/>
    <w:uiPriority w:val="99"/>
    <w:rsid w:val="00BA665C"/>
    <w:pPr>
      <w:spacing w:line="240" w:lineRule="auto"/>
    </w:pPr>
    <w:rPr>
      <w:rFonts w:ascii="Cambria" w:eastAsia="Times New Roman" w:hAnsi="Cambria" w:cs="Times New Roman"/>
      <w:sz w:val="24"/>
      <w:szCs w:val="24"/>
      <w:lang w:eastAsia="en-US"/>
    </w:rPr>
  </w:style>
  <w:style w:type="character" w:customStyle="1" w:styleId="CommentTextChar">
    <w:name w:val="Comment Text Char"/>
    <w:basedOn w:val="DefaultParagraphFont"/>
    <w:link w:val="CommentText"/>
    <w:uiPriority w:val="99"/>
    <w:rsid w:val="00BA665C"/>
    <w:rPr>
      <w:rFonts w:ascii="Cambria" w:eastAsia="Times New Roman" w:hAnsi="Cambria" w:cs="Times New Roman"/>
    </w:rPr>
  </w:style>
  <w:style w:type="paragraph" w:customStyle="1" w:styleId="TAMainText">
    <w:name w:val="TA_Main_Text"/>
    <w:basedOn w:val="Normal"/>
    <w:qFormat/>
    <w:rsid w:val="00BA665C"/>
    <w:pPr>
      <w:spacing w:after="0" w:line="480" w:lineRule="auto"/>
      <w:ind w:firstLine="202"/>
      <w:jc w:val="both"/>
    </w:pPr>
    <w:rPr>
      <w:rFonts w:ascii="Times" w:eastAsia="Times New Roman" w:hAnsi="Times" w:cs="Times New Roman"/>
      <w:sz w:val="24"/>
      <w:szCs w:val="24"/>
      <w:lang w:eastAsia="en-US"/>
    </w:rPr>
  </w:style>
  <w:style w:type="character" w:styleId="PageNumber">
    <w:name w:val="page number"/>
    <w:basedOn w:val="DefaultParagraphFont"/>
    <w:uiPriority w:val="99"/>
    <w:rsid w:val="00BA665C"/>
    <w:rPr>
      <w:rFonts w:cs="Times New Roman"/>
    </w:rPr>
  </w:style>
  <w:style w:type="paragraph" w:styleId="ListParagraph">
    <w:name w:val="List Paragraph"/>
    <w:basedOn w:val="Normal"/>
    <w:uiPriority w:val="34"/>
    <w:qFormat/>
    <w:rsid w:val="00BA665C"/>
    <w:pPr>
      <w:spacing w:line="240" w:lineRule="auto"/>
      <w:ind w:left="720"/>
      <w:contextualSpacing/>
    </w:pPr>
    <w:rPr>
      <w:rFonts w:ascii="Cambria" w:eastAsia="Times New Roman" w:hAnsi="Cambria" w:cs="Times New Roman"/>
      <w:sz w:val="24"/>
      <w:szCs w:val="24"/>
      <w:lang w:eastAsia="en-US"/>
    </w:rPr>
  </w:style>
  <w:style w:type="paragraph" w:styleId="FootnoteText">
    <w:name w:val="footnote text"/>
    <w:basedOn w:val="Normal"/>
    <w:link w:val="FootnoteTextChar"/>
    <w:uiPriority w:val="99"/>
    <w:rsid w:val="00BA665C"/>
    <w:pPr>
      <w:spacing w:after="0" w:line="240" w:lineRule="auto"/>
    </w:pPr>
    <w:rPr>
      <w:rFonts w:ascii="Calibri" w:eastAsia="Times New Roman" w:hAnsi="Calibri" w:cs="Times New Roman"/>
      <w:sz w:val="24"/>
      <w:szCs w:val="24"/>
    </w:rPr>
  </w:style>
  <w:style w:type="character" w:customStyle="1" w:styleId="FootnoteTextChar">
    <w:name w:val="Footnote Text Char"/>
    <w:basedOn w:val="DefaultParagraphFont"/>
    <w:link w:val="FootnoteText"/>
    <w:uiPriority w:val="99"/>
    <w:rsid w:val="00BA665C"/>
    <w:rPr>
      <w:rFonts w:ascii="Calibri" w:eastAsia="Times New Roman" w:hAnsi="Calibri" w:cs="Times New Roman"/>
      <w:lang w:eastAsia="zh-CN"/>
    </w:rPr>
  </w:style>
  <w:style w:type="character" w:styleId="FootnoteReference">
    <w:name w:val="footnote reference"/>
    <w:basedOn w:val="DefaultParagraphFont"/>
    <w:uiPriority w:val="99"/>
    <w:rsid w:val="00BA665C"/>
    <w:rPr>
      <w:rFonts w:cs="Times New Roman"/>
      <w:vertAlign w:val="superscript"/>
    </w:rPr>
  </w:style>
  <w:style w:type="character" w:customStyle="1" w:styleId="BalloonTextChar1">
    <w:name w:val="Balloon Text Char1"/>
    <w:basedOn w:val="DefaultParagraphFont"/>
    <w:link w:val="BalloonText"/>
    <w:uiPriority w:val="99"/>
    <w:locked/>
    <w:rsid w:val="00BA665C"/>
    <w:rPr>
      <w:rFonts w:ascii="Lucida Grande" w:eastAsia="Times New Roman" w:hAnsi="Lucida Grande" w:cs="Lucida Grande"/>
      <w:sz w:val="18"/>
      <w:szCs w:val="18"/>
    </w:rPr>
  </w:style>
  <w:style w:type="paragraph" w:styleId="CommentSubject">
    <w:name w:val="annotation subject"/>
    <w:basedOn w:val="CommentText"/>
    <w:next w:val="CommentText"/>
    <w:link w:val="CommentSubjectChar"/>
    <w:uiPriority w:val="99"/>
    <w:rsid w:val="00BA665C"/>
    <w:rPr>
      <w:b/>
      <w:bCs/>
      <w:sz w:val="20"/>
      <w:szCs w:val="20"/>
    </w:rPr>
  </w:style>
  <w:style w:type="character" w:customStyle="1" w:styleId="CommentSubjectChar">
    <w:name w:val="Comment Subject Char"/>
    <w:basedOn w:val="CommentTextChar"/>
    <w:link w:val="CommentSubject"/>
    <w:uiPriority w:val="99"/>
    <w:rsid w:val="00BA665C"/>
    <w:rPr>
      <w:rFonts w:ascii="Cambria" w:eastAsia="Times New Roman" w:hAnsi="Cambria" w:cs="Times New Roman"/>
      <w:b/>
      <w:bCs/>
      <w:sz w:val="20"/>
      <w:szCs w:val="20"/>
    </w:rPr>
  </w:style>
  <w:style w:type="character" w:styleId="PlaceholderText">
    <w:name w:val="Placeholder Text"/>
    <w:basedOn w:val="DefaultParagraphFont"/>
    <w:uiPriority w:val="99"/>
    <w:rsid w:val="00BA665C"/>
    <w:rPr>
      <w:rFonts w:cs="Times New Roman"/>
      <w:color w:val="808080"/>
    </w:rPr>
  </w:style>
  <w:style w:type="paragraph" w:styleId="Revision">
    <w:name w:val="Revision"/>
    <w:hidden/>
    <w:uiPriority w:val="99"/>
    <w:rsid w:val="00BA665C"/>
    <w:rPr>
      <w:rFonts w:ascii="Cambria" w:eastAsia="Times New Roman" w:hAnsi="Cambria" w:cs="Times New Roman"/>
    </w:rPr>
  </w:style>
  <w:style w:type="character" w:styleId="Hyperlink">
    <w:name w:val="Hyperlink"/>
    <w:basedOn w:val="DefaultParagraphFont"/>
    <w:uiPriority w:val="99"/>
    <w:rsid w:val="00BA665C"/>
    <w:rPr>
      <w:rFonts w:cs="Times New Roman"/>
      <w:color w:val="0000FF"/>
      <w:u w:val="single"/>
    </w:rPr>
  </w:style>
  <w:style w:type="character" w:customStyle="1" w:styleId="apple-converted-space">
    <w:name w:val="apple-converted-space"/>
    <w:basedOn w:val="DefaultParagraphFont"/>
    <w:uiPriority w:val="99"/>
    <w:rsid w:val="00BA665C"/>
    <w:rPr>
      <w:rFonts w:cs="Times New Roman"/>
    </w:rPr>
  </w:style>
  <w:style w:type="paragraph" w:styleId="DocumentMap">
    <w:name w:val="Document Map"/>
    <w:basedOn w:val="Normal"/>
    <w:link w:val="DocumentMapChar"/>
    <w:uiPriority w:val="99"/>
    <w:rsid w:val="00BA665C"/>
    <w:pPr>
      <w:spacing w:after="0" w:line="240" w:lineRule="auto"/>
    </w:pPr>
    <w:rPr>
      <w:rFonts w:ascii="Tahoma" w:eastAsia="Times New Roman" w:hAnsi="Tahoma" w:cs="Tahoma"/>
      <w:sz w:val="16"/>
      <w:szCs w:val="16"/>
      <w:lang w:eastAsia="en-US"/>
    </w:rPr>
  </w:style>
  <w:style w:type="character" w:customStyle="1" w:styleId="DocumentMapChar">
    <w:name w:val="Document Map Char"/>
    <w:basedOn w:val="DefaultParagraphFont"/>
    <w:link w:val="DocumentMap"/>
    <w:uiPriority w:val="99"/>
    <w:rsid w:val="00BA665C"/>
    <w:rPr>
      <w:rFonts w:ascii="Tahoma" w:eastAsia="Times New Roman" w:hAnsi="Tahoma" w:cs="Tahoma"/>
      <w:sz w:val="16"/>
      <w:szCs w:val="16"/>
    </w:rPr>
  </w:style>
  <w:style w:type="paragraph" w:styleId="NoSpacing">
    <w:name w:val="No Spacing"/>
    <w:uiPriority w:val="1"/>
    <w:qFormat/>
    <w:rsid w:val="00BA665C"/>
    <w:rPr>
      <w:rFonts w:ascii="Cambria" w:eastAsia="Times New Roman" w:hAnsi="Cambria" w:cs="Times New Roman"/>
    </w:rPr>
  </w:style>
  <w:style w:type="paragraph" w:styleId="HTMLPreformatted">
    <w:name w:val="HTML Preformatted"/>
    <w:basedOn w:val="Normal"/>
    <w:link w:val="HTMLPreformattedChar"/>
    <w:uiPriority w:val="99"/>
    <w:unhideWhenUsed/>
    <w:rsid w:val="00BA6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imes New Roman" w:hAnsi="Courier" w:cs="Courier"/>
      <w:sz w:val="20"/>
      <w:szCs w:val="20"/>
      <w:lang w:eastAsia="en-US"/>
    </w:rPr>
  </w:style>
  <w:style w:type="character" w:customStyle="1" w:styleId="HTMLPreformattedChar">
    <w:name w:val="HTML Preformatted Char"/>
    <w:basedOn w:val="DefaultParagraphFont"/>
    <w:link w:val="HTMLPreformatted"/>
    <w:uiPriority w:val="99"/>
    <w:rsid w:val="00BA665C"/>
    <w:rPr>
      <w:rFonts w:ascii="Courier" w:eastAsia="Times New Roman" w:hAnsi="Courier" w:cs="Courier"/>
      <w:sz w:val="20"/>
      <w:szCs w:val="20"/>
    </w:rPr>
  </w:style>
  <w:style w:type="paragraph" w:customStyle="1" w:styleId="03Abstract">
    <w:name w:val="03 Abstract"/>
    <w:uiPriority w:val="99"/>
    <w:rsid w:val="00BA665C"/>
    <w:pPr>
      <w:spacing w:after="240" w:line="240" w:lineRule="exact"/>
      <w:ind w:right="2268"/>
    </w:pPr>
    <w:rPr>
      <w:rFonts w:ascii="Times New Roman" w:eastAsia="Times New Roman" w:hAnsi="Times New Roman" w:cs="Times New Roman"/>
      <w:sz w:val="18"/>
      <w:szCs w:val="18"/>
      <w:lang w:val="en-GB" w:eastAsia="en-GB"/>
    </w:rPr>
  </w:style>
  <w:style w:type="character" w:customStyle="1" w:styleId="jrnl">
    <w:name w:val="jrnl"/>
    <w:rsid w:val="00BA665C"/>
  </w:style>
  <w:style w:type="character" w:customStyle="1" w:styleId="src">
    <w:name w:val="src"/>
    <w:rsid w:val="00BA665C"/>
  </w:style>
  <w:style w:type="table" w:styleId="TableGrid">
    <w:name w:val="Table Grid"/>
    <w:basedOn w:val="TableNormal"/>
    <w:uiPriority w:val="59"/>
    <w:rsid w:val="00BA665C"/>
    <w:rPr>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BA665C"/>
  </w:style>
  <w:style w:type="paragraph" w:customStyle="1" w:styleId="VDTableTitle">
    <w:name w:val="VD_Table_Title"/>
    <w:basedOn w:val="Normal"/>
    <w:next w:val="Normal"/>
    <w:rsid w:val="00BA665C"/>
    <w:pPr>
      <w:spacing w:line="480" w:lineRule="auto"/>
      <w:jc w:val="both"/>
    </w:pPr>
    <w:rPr>
      <w:rFonts w:ascii="Times" w:eastAsia="Times New Roman" w:hAnsi="Times" w:cs="Times New Roman"/>
      <w:sz w:val="24"/>
      <w:szCs w:val="24"/>
      <w:lang w:eastAsia="en-US" w:bidi="en-US"/>
    </w:rPr>
  </w:style>
  <w:style w:type="paragraph" w:customStyle="1" w:styleId="TCTableBody">
    <w:name w:val="TC_Table_Body"/>
    <w:basedOn w:val="Normal"/>
    <w:rsid w:val="00BA665C"/>
    <w:pPr>
      <w:spacing w:line="240" w:lineRule="auto"/>
      <w:jc w:val="both"/>
    </w:pPr>
    <w:rPr>
      <w:rFonts w:ascii="Times" w:eastAsia="Times New Roman" w:hAnsi="Times" w:cs="Times New Roman"/>
      <w:sz w:val="24"/>
      <w:szCs w:val="24"/>
      <w:lang w:eastAsia="en-US" w:bidi="en-US"/>
    </w:rPr>
  </w:style>
  <w:style w:type="paragraph" w:customStyle="1" w:styleId="Default">
    <w:name w:val="Default"/>
    <w:rsid w:val="00BA665C"/>
    <w:pPr>
      <w:widowControl w:val="0"/>
      <w:autoSpaceDE w:val="0"/>
      <w:autoSpaceDN w:val="0"/>
      <w:adjustRightInd w:val="0"/>
    </w:pPr>
    <w:rPr>
      <w:rFonts w:ascii="Times New Roman" w:eastAsia="Times New Roman" w:hAnsi="Times New Roman" w:cs="Times New Roman"/>
      <w:color w:val="000000"/>
    </w:rPr>
  </w:style>
  <w:style w:type="paragraph" w:customStyle="1" w:styleId="DataField11pt-Single">
    <w:name w:val="Data Field 11pt-Single"/>
    <w:basedOn w:val="Normal"/>
    <w:link w:val="DataField11pt-SingleChar"/>
    <w:uiPriority w:val="99"/>
    <w:rsid w:val="00BA665C"/>
    <w:pPr>
      <w:autoSpaceDE w:val="0"/>
      <w:autoSpaceDN w:val="0"/>
      <w:spacing w:after="0" w:line="240" w:lineRule="auto"/>
    </w:pPr>
    <w:rPr>
      <w:rFonts w:ascii="Arial" w:eastAsia="MS ??" w:hAnsi="Arial" w:cs="Arial"/>
      <w:szCs w:val="20"/>
      <w:lang w:eastAsia="en-US"/>
    </w:rPr>
  </w:style>
  <w:style w:type="character" w:customStyle="1" w:styleId="CommentTextChar1">
    <w:name w:val="Comment Text Char1"/>
    <w:uiPriority w:val="99"/>
    <w:semiHidden/>
    <w:locked/>
    <w:rsid w:val="00BA665C"/>
    <w:rPr>
      <w:rFonts w:ascii="Times" w:eastAsia="SimSun" w:hAnsi="Times"/>
      <w:lang w:val="en-US" w:eastAsia="en-US"/>
    </w:rPr>
  </w:style>
  <w:style w:type="character" w:customStyle="1" w:styleId="DataField11pt-SingleChar">
    <w:name w:val="Data Field 11pt-Single Char"/>
    <w:link w:val="DataField11pt-Single"/>
    <w:uiPriority w:val="99"/>
    <w:locked/>
    <w:rsid w:val="00BA665C"/>
    <w:rPr>
      <w:rFonts w:ascii="Arial" w:eastAsia="MS ??" w:hAnsi="Arial" w:cs="Arial"/>
      <w:sz w:val="22"/>
      <w:szCs w:val="20"/>
    </w:rPr>
  </w:style>
  <w:style w:type="character" w:styleId="Strong">
    <w:name w:val="Strong"/>
    <w:basedOn w:val="DefaultParagraphFont"/>
    <w:uiPriority w:val="22"/>
    <w:qFormat/>
    <w:rsid w:val="00BA665C"/>
    <w:rPr>
      <w:b/>
      <w:bCs/>
    </w:rPr>
  </w:style>
  <w:style w:type="paragraph" w:styleId="Caption">
    <w:name w:val="caption"/>
    <w:basedOn w:val="Normal"/>
    <w:next w:val="Normal"/>
    <w:uiPriority w:val="35"/>
    <w:unhideWhenUsed/>
    <w:qFormat/>
    <w:rsid w:val="00BA665C"/>
    <w:pPr>
      <w:spacing w:line="240" w:lineRule="auto"/>
    </w:pPr>
    <w:rPr>
      <w:rFonts w:ascii="Cambria" w:eastAsia="Times New Roman" w:hAnsi="Cambria" w:cs="Times New Roman"/>
      <w:b/>
      <w:bCs/>
      <w:color w:val="4F81BD" w:themeColor="accent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pubchem.ncbi.nlm.nih.gov/search/" TargetMode="External"/><Relationship Id="rId20" Type="http://schemas.openxmlformats.org/officeDocument/2006/relationships/hyperlink" Target="http://ntp.niehs.nih.gov/results/hts/index.html" TargetMode="External"/><Relationship Id="rId21" Type="http://schemas.openxmlformats.org/officeDocument/2006/relationships/hyperlink" Target="http://www.chemspider.com/AboutUs.aspx" TargetMode="External"/><Relationship Id="rId22" Type="http://schemas.openxmlformats.org/officeDocument/2006/relationships/image" Target="media/image12.png"/><Relationship Id="rId23" Type="http://schemas.openxmlformats.org/officeDocument/2006/relationships/hyperlink" Target="http://www.ascctox.org/" TargetMode="External"/><Relationship Id="rId24" Type="http://schemas.openxmlformats.org/officeDocument/2006/relationships/hyperlink" Target="http://www.atsdr.cdc.gov/mrls/articles/applications_of_computational_toxicology_methods_at_ATSDR.pdf" TargetMode="External"/><Relationship Id="rId25" Type="http://schemas.openxmlformats.org/officeDocument/2006/relationships/hyperlink" Target="http://www.epa.gov/aboutepa/about-national-center-computational-toxicology-ncct" TargetMode="External"/><Relationship Id="rId26" Type="http://schemas.openxmlformats.org/officeDocument/2006/relationships/hyperlink" Target="http://www.nih.gov/news-events/news-releases/nih-collaborates-epa-improve-safety-testing-chemicals" TargetMode="External"/><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oter" Target="footer1.xml"/><Relationship Id="rId30" Type="http://schemas.openxmlformats.org/officeDocument/2006/relationships/header" Target="header3.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tox.charite.de/tox/index.php?site=ho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karolina:Library:Containers:com.apple.mail:Data:Library:Mail%20Downloads:42FEFA32-AF57-49AF-B41B-65C7E1A83C5F:MoDRN%20Word%20Template_Watermar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 HD:Users:karolina:Library:Containers:com.apple.mail:Data:Library:Mail Downloads:42FEFA32-AF57-49AF-B41B-65C7E1A83C5F:MoDRN Word Template_Watermark.dotx</Template>
  <TotalTime>2</TotalTime>
  <Pages>13</Pages>
  <Words>1523</Words>
  <Characters>8683</Characters>
  <Application>Microsoft Macintosh Word</Application>
  <DocSecurity>0</DocSecurity>
  <Lines>72</Lines>
  <Paragraphs>20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Module 2: REDOX Reactions </vt:lpstr>
    </vt:vector>
  </TitlesOfParts>
  <Company/>
  <LinksUpToDate>false</LinksUpToDate>
  <CharactersWithSpaces>10186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Mellor</dc:creator>
  <cp:keywords/>
  <dc:description/>
  <cp:lastModifiedBy>Microsoft Office User</cp:lastModifiedBy>
  <cp:revision>2</cp:revision>
  <dcterms:created xsi:type="dcterms:W3CDTF">2016-07-21T02:35:00Z</dcterms:created>
  <dcterms:modified xsi:type="dcterms:W3CDTF">2016-07-21T02:35:00Z</dcterms:modified>
</cp:coreProperties>
</file>